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063D" w14:textId="5EDAF8BD" w:rsidR="00261854" w:rsidRPr="00A95628" w:rsidRDefault="00261854" w:rsidP="00412B20">
      <w:pPr>
        <w:pStyle w:val="berschrift2"/>
        <w:shd w:val="clear" w:color="auto" w:fill="FFFFFF"/>
        <w:spacing w:before="0"/>
        <w:rPr>
          <w:rFonts w:asciiTheme="minorHAnsi" w:hAnsiTheme="minorHAnsi" w:cstheme="minorHAnsi"/>
          <w:b/>
          <w:color w:val="auto"/>
          <w:sz w:val="28"/>
          <w:szCs w:val="28"/>
        </w:rPr>
      </w:pPr>
      <w:proofErr w:type="spellStart"/>
      <w:r w:rsidRPr="00A95628">
        <w:rPr>
          <w:rFonts w:asciiTheme="minorHAnsi" w:hAnsiTheme="minorHAnsi" w:cstheme="minorHAnsi"/>
          <w:b/>
          <w:color w:val="auto"/>
          <w:sz w:val="28"/>
          <w:szCs w:val="28"/>
        </w:rPr>
        <w:t>Sustainable</w:t>
      </w:r>
      <w:proofErr w:type="spellEnd"/>
      <w:r w:rsidRPr="00A95628">
        <w:rPr>
          <w:rFonts w:asciiTheme="minorHAnsi" w:hAnsiTheme="minorHAnsi" w:cstheme="minorHAnsi"/>
          <w:b/>
          <w:color w:val="auto"/>
          <w:sz w:val="28"/>
          <w:szCs w:val="28"/>
        </w:rPr>
        <w:t xml:space="preserve"> Finance nach der </w:t>
      </w:r>
      <w:r w:rsidRPr="00A95628">
        <w:rPr>
          <w:rFonts w:asciiTheme="minorHAnsi" w:hAnsiTheme="minorHAnsi" w:cstheme="minorHAnsi"/>
          <w:b/>
          <w:color w:val="auto"/>
        </w:rPr>
        <w:t>UN-Klimakonferenz 2021 „</w:t>
      </w:r>
      <w:r w:rsidRPr="00A95628">
        <w:rPr>
          <w:rFonts w:asciiTheme="minorHAnsi" w:hAnsiTheme="minorHAnsi" w:cstheme="minorHAnsi"/>
          <w:b/>
          <w:color w:val="auto"/>
          <w:sz w:val="28"/>
          <w:szCs w:val="28"/>
        </w:rPr>
        <w:t>COP26“</w:t>
      </w:r>
    </w:p>
    <w:p w14:paraId="4368ACED" w14:textId="1B371527" w:rsidR="00565050" w:rsidRPr="00A95628" w:rsidRDefault="0028691D" w:rsidP="006577FD">
      <w:pPr>
        <w:pStyle w:val="berschrift2"/>
        <w:shd w:val="clear" w:color="auto" w:fill="FFFFFF"/>
        <w:spacing w:before="0"/>
        <w:rPr>
          <w:rFonts w:asciiTheme="minorHAnsi" w:hAnsiTheme="minorHAnsi" w:cstheme="minorHAnsi"/>
          <w:b/>
          <w:color w:val="auto"/>
        </w:rPr>
      </w:pPr>
      <w:r w:rsidRPr="00A95628">
        <w:rPr>
          <w:rFonts w:asciiTheme="minorHAnsi" w:hAnsiTheme="minorHAnsi" w:cstheme="minorHAnsi"/>
          <w:b/>
          <w:color w:val="auto"/>
          <w:sz w:val="28"/>
          <w:szCs w:val="28"/>
        </w:rPr>
        <w:t>Impulspapier der Finanzplatz München Initiative</w:t>
      </w:r>
    </w:p>
    <w:p w14:paraId="30A1EA89" w14:textId="77777777" w:rsidR="00565050" w:rsidRPr="00565050" w:rsidRDefault="00565050" w:rsidP="003C20E5">
      <w:pPr>
        <w:spacing w:after="0"/>
        <w:rPr>
          <w:sz w:val="24"/>
          <w:szCs w:val="24"/>
        </w:rPr>
      </w:pPr>
    </w:p>
    <w:p w14:paraId="46BC780E" w14:textId="5BF2A788" w:rsidR="00652B2B" w:rsidRDefault="00622F5B" w:rsidP="00882C6E">
      <w:pPr>
        <w:tabs>
          <w:tab w:val="left" w:pos="142"/>
          <w:tab w:val="left" w:pos="284"/>
        </w:tabs>
        <w:spacing w:after="0" w:line="240" w:lineRule="auto"/>
        <w:rPr>
          <w:b/>
          <w:sz w:val="24"/>
          <w:szCs w:val="24"/>
        </w:rPr>
      </w:pPr>
      <w:r w:rsidRPr="00565050">
        <w:rPr>
          <w:b/>
          <w:sz w:val="24"/>
          <w:szCs w:val="24"/>
        </w:rPr>
        <w:t>D</w:t>
      </w:r>
      <w:r w:rsidR="00535439" w:rsidRPr="00565050">
        <w:rPr>
          <w:b/>
          <w:sz w:val="24"/>
          <w:szCs w:val="24"/>
        </w:rPr>
        <w:t xml:space="preserve">er Umbau der Wirtschaft </w:t>
      </w:r>
      <w:r w:rsidR="007D67A3" w:rsidRPr="00565050">
        <w:rPr>
          <w:b/>
          <w:sz w:val="24"/>
          <w:szCs w:val="24"/>
        </w:rPr>
        <w:t>hin zu klimaneutralen</w:t>
      </w:r>
      <w:r w:rsidR="004B2EF5" w:rsidRPr="00565050">
        <w:rPr>
          <w:b/>
          <w:sz w:val="24"/>
          <w:szCs w:val="24"/>
        </w:rPr>
        <w:t xml:space="preserve"> </w:t>
      </w:r>
      <w:r w:rsidR="007D67A3" w:rsidRPr="00565050">
        <w:rPr>
          <w:b/>
          <w:sz w:val="24"/>
          <w:szCs w:val="24"/>
        </w:rPr>
        <w:t xml:space="preserve">Prozessen </w:t>
      </w:r>
      <w:r w:rsidR="00535439" w:rsidRPr="00565050">
        <w:rPr>
          <w:b/>
          <w:sz w:val="24"/>
          <w:szCs w:val="24"/>
        </w:rPr>
        <w:t xml:space="preserve">erhöht flächendeckend die Wertschöpfung im Land und schafft </w:t>
      </w:r>
      <w:r w:rsidR="007D67A3" w:rsidRPr="00565050">
        <w:rPr>
          <w:b/>
          <w:sz w:val="24"/>
          <w:szCs w:val="24"/>
        </w:rPr>
        <w:t xml:space="preserve">mit nachhaltigen Produkten und Dienstleistungen neue </w:t>
      </w:r>
      <w:r w:rsidR="00535439" w:rsidRPr="00565050">
        <w:rPr>
          <w:b/>
          <w:sz w:val="24"/>
          <w:szCs w:val="24"/>
        </w:rPr>
        <w:t>Arbeitsplätze.</w:t>
      </w:r>
      <w:r w:rsidR="00882C6E">
        <w:rPr>
          <w:b/>
          <w:sz w:val="24"/>
          <w:szCs w:val="24"/>
        </w:rPr>
        <w:t xml:space="preserve"> </w:t>
      </w:r>
      <w:r w:rsidR="007D67A3">
        <w:rPr>
          <w:b/>
          <w:sz w:val="24"/>
          <w:szCs w:val="24"/>
        </w:rPr>
        <w:t xml:space="preserve">Die </w:t>
      </w:r>
      <w:proofErr w:type="spellStart"/>
      <w:r w:rsidR="005F5893">
        <w:rPr>
          <w:b/>
          <w:sz w:val="24"/>
          <w:szCs w:val="24"/>
        </w:rPr>
        <w:t>fpmi</w:t>
      </w:r>
      <w:proofErr w:type="spellEnd"/>
      <w:r w:rsidR="005F5893">
        <w:rPr>
          <w:b/>
          <w:sz w:val="24"/>
          <w:szCs w:val="24"/>
        </w:rPr>
        <w:t xml:space="preserve"> unterstützt eine stufenweise Einführung der nichtfinanziellen Berichterstattung, wenn sie sich in der ersten Ausbaustufe auf ökologische Kernzielgrößen und auf Unternehmen ab 500 Mitarbeiter beschränkt. Eine stufenweise Erweiterung der Kennzahlen kann erfolgen, sobald </w:t>
      </w:r>
      <w:r w:rsidR="0028691D">
        <w:rPr>
          <w:b/>
          <w:sz w:val="24"/>
          <w:szCs w:val="24"/>
        </w:rPr>
        <w:t xml:space="preserve">stabile Entwürfe von </w:t>
      </w:r>
      <w:r w:rsidR="005F5893">
        <w:rPr>
          <w:b/>
          <w:sz w:val="24"/>
          <w:szCs w:val="24"/>
        </w:rPr>
        <w:t>Basisregulierungen</w:t>
      </w:r>
      <w:r w:rsidR="0028691D">
        <w:rPr>
          <w:b/>
          <w:sz w:val="24"/>
          <w:szCs w:val="24"/>
        </w:rPr>
        <w:t xml:space="preserve"> bei der Taxonomie</w:t>
      </w:r>
      <w:r w:rsidR="00A920A4">
        <w:rPr>
          <w:b/>
          <w:sz w:val="24"/>
          <w:szCs w:val="24"/>
        </w:rPr>
        <w:t xml:space="preserve"> </w:t>
      </w:r>
      <w:r w:rsidR="005F5893">
        <w:rPr>
          <w:b/>
          <w:sz w:val="24"/>
          <w:szCs w:val="24"/>
        </w:rPr>
        <w:t>vorliegen.</w:t>
      </w:r>
    </w:p>
    <w:p w14:paraId="36C4496B" w14:textId="0711F3BC" w:rsidR="00882C6E" w:rsidRDefault="00882C6E" w:rsidP="00882C6E">
      <w:pPr>
        <w:tabs>
          <w:tab w:val="left" w:pos="142"/>
          <w:tab w:val="left" w:pos="284"/>
        </w:tabs>
        <w:spacing w:after="0" w:line="240" w:lineRule="auto"/>
        <w:rPr>
          <w:b/>
          <w:sz w:val="24"/>
          <w:szCs w:val="24"/>
        </w:rPr>
      </w:pPr>
    </w:p>
    <w:p w14:paraId="6447C18B" w14:textId="1CA43565" w:rsidR="00456493" w:rsidRDefault="00E94FCB">
      <w:r>
        <w:t>Die UN Climate Change Conference</w:t>
      </w:r>
      <w:r w:rsidR="00565050">
        <w:t xml:space="preserve"> (</w:t>
      </w:r>
      <w:r w:rsidR="00456493">
        <w:t>COP26</w:t>
      </w:r>
      <w:r w:rsidR="00565050">
        <w:t>)</w:t>
      </w:r>
      <w:r w:rsidR="00456493">
        <w:t xml:space="preserve"> und die Berichte</w:t>
      </w:r>
      <w:r w:rsidR="007D67A3">
        <w:t>rstattung darüber</w:t>
      </w:r>
      <w:r w:rsidR="00565050">
        <w:t xml:space="preserve"> </w:t>
      </w:r>
      <w:r w:rsidR="00456493">
        <w:t>haben erneut unterstrichen, da</w:t>
      </w:r>
      <w:r>
        <w:t>ss</w:t>
      </w:r>
      <w:r w:rsidR="00456493">
        <w:t xml:space="preserve"> wir vor </w:t>
      </w:r>
      <w:r w:rsidR="0048516D">
        <w:t>einer</w:t>
      </w:r>
      <w:r w:rsidR="008D250D">
        <w:t xml:space="preserve"> notwendigen,</w:t>
      </w:r>
      <w:r w:rsidR="006E1958">
        <w:t xml:space="preserve"> umfassenden </w:t>
      </w:r>
      <w:r w:rsidR="00456493">
        <w:t xml:space="preserve">industriellen Revolution stehen, die </w:t>
      </w:r>
      <w:r w:rsidR="0048516D">
        <w:t xml:space="preserve">fast </w:t>
      </w:r>
      <w:r w:rsidR="00456493">
        <w:t xml:space="preserve">alle Wirtschaftsbereiche </w:t>
      </w:r>
      <w:r w:rsidR="005845B8">
        <w:t>erreichen</w:t>
      </w:r>
      <w:r w:rsidR="00456493">
        <w:t xml:space="preserve"> wird. </w:t>
      </w:r>
      <w:r>
        <w:t xml:space="preserve">Davor hatten die Bemühungen des </w:t>
      </w:r>
      <w:r w:rsidR="007D4915">
        <w:t>Weltklimarat</w:t>
      </w:r>
      <w:r>
        <w:t>s</w:t>
      </w:r>
      <w:r w:rsidR="007D4915">
        <w:t xml:space="preserve"> </w:t>
      </w:r>
      <w:r>
        <w:t xml:space="preserve">und anderer Institutionen </w:t>
      </w:r>
      <w:r w:rsidR="007D4915">
        <w:t>gezeigt, da</w:t>
      </w:r>
      <w:r>
        <w:t>ss</w:t>
      </w:r>
      <w:r w:rsidR="007D4915">
        <w:t xml:space="preserve"> die getroffenen Maßnahmen nicht ausreichen, um die Erderwärmung unter 2 Grad bis 2100 zu halten</w:t>
      </w:r>
      <w:r w:rsidR="00C74CB5">
        <w:t xml:space="preserve"> bzw. den Temperaturanstieg auf 1,5 Grad zu begrenzen</w:t>
      </w:r>
      <w:r w:rsidR="007D4915">
        <w:t xml:space="preserve">. </w:t>
      </w:r>
      <w:r w:rsidR="00261854">
        <w:t xml:space="preserve">Mit </w:t>
      </w:r>
      <w:r w:rsidR="00456493">
        <w:t xml:space="preserve">COP26 </w:t>
      </w:r>
      <w:r w:rsidR="00261854">
        <w:t xml:space="preserve">sind die </w:t>
      </w:r>
      <w:r w:rsidR="00456493">
        <w:t>Staaten</w:t>
      </w:r>
      <w:r w:rsidR="00261854">
        <w:t xml:space="preserve"> der Welt neue Selbstverpflichtungen zum Klimaschutz</w:t>
      </w:r>
      <w:r w:rsidR="00456493">
        <w:t xml:space="preserve">, </w:t>
      </w:r>
      <w:r w:rsidR="00422DC5">
        <w:t xml:space="preserve">sogenannte </w:t>
      </w:r>
      <w:proofErr w:type="spellStart"/>
      <w:r>
        <w:t>N</w:t>
      </w:r>
      <w:r w:rsidR="00456493">
        <w:t>ationally</w:t>
      </w:r>
      <w:proofErr w:type="spellEnd"/>
      <w:r w:rsidR="00456493">
        <w:t xml:space="preserve"> </w:t>
      </w:r>
      <w:proofErr w:type="spellStart"/>
      <w:r>
        <w:t>D</w:t>
      </w:r>
      <w:r w:rsidR="00456493">
        <w:t>etermined</w:t>
      </w:r>
      <w:proofErr w:type="spellEnd"/>
      <w:r w:rsidR="00456493">
        <w:t xml:space="preserve"> </w:t>
      </w:r>
      <w:proofErr w:type="spellStart"/>
      <w:r>
        <w:t>C</w:t>
      </w:r>
      <w:r w:rsidR="00456493">
        <w:t>ontributions</w:t>
      </w:r>
      <w:proofErr w:type="spellEnd"/>
      <w:r>
        <w:t xml:space="preserve"> (NDC</w:t>
      </w:r>
      <w:r w:rsidR="00565050">
        <w:t>s</w:t>
      </w:r>
      <w:r>
        <w:t>)</w:t>
      </w:r>
      <w:r w:rsidR="00456493">
        <w:t>,</w:t>
      </w:r>
      <w:r w:rsidR="004E2FEB">
        <w:t xml:space="preserve"> eingegangen.</w:t>
      </w:r>
      <w:r w:rsidR="00456493">
        <w:t xml:space="preserve"> </w:t>
      </w:r>
      <w:r w:rsidR="004E2FEB">
        <w:t xml:space="preserve">Dabei wird auf </w:t>
      </w:r>
      <w:r w:rsidR="00456493">
        <w:t>ein Klimaziel von ca. 1,8 Grad</w:t>
      </w:r>
      <w:r w:rsidR="004E2FEB">
        <w:t xml:space="preserve"> im Vergleich zur vorindustriellen Zeit</w:t>
      </w:r>
      <w:r w:rsidR="00422DC5">
        <w:t xml:space="preserve"> </w:t>
      </w:r>
      <w:r w:rsidR="004E2FEB">
        <w:t>hingearbeitet</w:t>
      </w:r>
      <w:r w:rsidR="00456493">
        <w:t xml:space="preserve">. </w:t>
      </w:r>
    </w:p>
    <w:p w14:paraId="2FD8EBA1" w14:textId="77777777" w:rsidR="00456493" w:rsidRPr="00B52DFE" w:rsidRDefault="00456493">
      <w:pPr>
        <w:rPr>
          <w:i/>
        </w:rPr>
      </w:pPr>
      <w:r>
        <w:t xml:space="preserve">Die Bundesrepublik hat sich schon im Sommer zur Treibhausgasneutralität bis 2045 verpflichtet, </w:t>
      </w:r>
      <w:r w:rsidR="00E94FCB">
        <w:t xml:space="preserve">Bayern und </w:t>
      </w:r>
      <w:r>
        <w:t xml:space="preserve">Baden-Württemberg </w:t>
      </w:r>
      <w:r w:rsidR="00E94FCB" w:rsidRPr="00565050">
        <w:t xml:space="preserve">haben sogar eine </w:t>
      </w:r>
      <w:r w:rsidR="00B52DFE" w:rsidRPr="00565050">
        <w:t>Klimaneutralität bis 2040 angekündigt.</w:t>
      </w:r>
    </w:p>
    <w:p w14:paraId="2FD45C2D" w14:textId="77777777" w:rsidR="0048516D" w:rsidRDefault="0048516D" w:rsidP="0048516D">
      <w:r>
        <w:t xml:space="preserve">Die Präsidentschaft von COP26, das Vereinigte Königreich, hat der Finanzindustrie eine tragende Rolle bei der beschleunigten Umgestaltung in eine treibhausarme Wirtschaftsform beigemessen. </w:t>
      </w:r>
    </w:p>
    <w:p w14:paraId="00E0F847" w14:textId="77777777" w:rsidR="00882C6E" w:rsidRDefault="0048516D">
      <w:r>
        <w:t xml:space="preserve">Auf europäischer Ebene gibt es im Rahmen des EU Green Deal </w:t>
      </w:r>
      <w:r w:rsidR="006E1958">
        <w:t xml:space="preserve">mit dem Aktionsplan der Kommission für nachhaltige Finanzierungen </w:t>
      </w:r>
      <w:r>
        <w:t xml:space="preserve">ein umfassendes Regulierungswerk, das sich teilweise noch in </w:t>
      </w:r>
      <w:r w:rsidR="00E94FCB">
        <w:t xml:space="preserve">der </w:t>
      </w:r>
      <w:r>
        <w:t>Umsetzung befindet</w:t>
      </w:r>
      <w:r w:rsidR="00B52DFE">
        <w:t>.</w:t>
      </w:r>
      <w:r>
        <w:t xml:space="preserve"> Zu dem Maßnahmenpaket hat die Finanzplatzinitiative München bereits im April 2021</w:t>
      </w:r>
      <w:r w:rsidR="003C20E5">
        <w:t xml:space="preserve"> Stellung bezogen. Das Positionspapier „</w:t>
      </w:r>
      <w:proofErr w:type="spellStart"/>
      <w:r>
        <w:t>Sustainable</w:t>
      </w:r>
      <w:proofErr w:type="spellEnd"/>
      <w:r>
        <w:t xml:space="preserve"> Finance – Ist das Gesetzespaket zu stemmen?</w:t>
      </w:r>
      <w:r w:rsidR="003C20E5">
        <w:t xml:space="preserve">“ ist auf </w:t>
      </w:r>
      <w:hyperlink r:id="rId8" w:history="1">
        <w:r w:rsidR="003C20E5" w:rsidRPr="003B476E">
          <w:rPr>
            <w:rStyle w:val="Hyperlink"/>
          </w:rPr>
          <w:t>www.fpmi.de</w:t>
        </w:r>
      </w:hyperlink>
      <w:r w:rsidR="003C20E5">
        <w:t xml:space="preserve"> abrufbar</w:t>
      </w:r>
      <w:r>
        <w:t xml:space="preserve">. </w:t>
      </w:r>
    </w:p>
    <w:p w14:paraId="51A16BAC" w14:textId="77777777" w:rsidR="0048516D" w:rsidRDefault="00882C6E">
      <w:r>
        <w:t>In dieser Kommentierung</w:t>
      </w:r>
      <w:r w:rsidR="0048516D">
        <w:t xml:space="preserve"> geht </w:t>
      </w:r>
      <w:r>
        <w:t xml:space="preserve">es </w:t>
      </w:r>
      <w:r w:rsidR="0048516D">
        <w:t xml:space="preserve">um eine Lagebetrachtung nach weiteren sechs Monaten und insbesondere nach COP26. </w:t>
      </w:r>
    </w:p>
    <w:p w14:paraId="38AC81F3" w14:textId="06DE1B43" w:rsidR="00B52DFE" w:rsidRDefault="00B52DFE" w:rsidP="00B52DFE">
      <w:pPr>
        <w:rPr>
          <w:b/>
        </w:rPr>
      </w:pPr>
      <w:r w:rsidRPr="003C20E5">
        <w:t xml:space="preserve">Eine Reihe von </w:t>
      </w:r>
      <w:r w:rsidRPr="003C20E5">
        <w:rPr>
          <w:b/>
        </w:rPr>
        <w:t>Regulierungsmaßnahmen für die Finanzindustrie</w:t>
      </w:r>
      <w:r w:rsidRPr="003C20E5">
        <w:t xml:space="preserve"> ist bereits final verabschiedet</w:t>
      </w:r>
      <w:r>
        <w:rPr>
          <w:b/>
        </w:rPr>
        <w:t xml:space="preserve"> </w:t>
      </w:r>
      <w:r w:rsidR="00E93A5F">
        <w:rPr>
          <w:b/>
        </w:rPr>
        <w:t>Taxonomie-</w:t>
      </w:r>
      <w:r>
        <w:rPr>
          <w:b/>
        </w:rPr>
        <w:t>VO, Offenlegungs</w:t>
      </w:r>
      <w:r w:rsidR="003C20E5">
        <w:rPr>
          <w:b/>
        </w:rPr>
        <w:t>-</w:t>
      </w:r>
      <w:r>
        <w:rPr>
          <w:b/>
        </w:rPr>
        <w:t xml:space="preserve">VO, MIFID II/IDD Änderungen bezüglich der Nachhaltigkeitspräferenzen. </w:t>
      </w:r>
    </w:p>
    <w:p w14:paraId="7EFE95CB" w14:textId="345260EB" w:rsidR="004E2FEB" w:rsidRDefault="00721A2B" w:rsidP="00721A2B">
      <w:bookmarkStart w:id="0" w:name="_Hlk87517151"/>
      <w:r w:rsidRPr="003C20E5">
        <w:rPr>
          <w:rFonts w:cstheme="minorHAnsi"/>
          <w:color w:val="202124"/>
          <w:shd w:val="clear" w:color="auto" w:fill="FFFFFF"/>
        </w:rPr>
        <w:t>Im Zuge der</w:t>
      </w:r>
      <w:r w:rsidR="00565050" w:rsidRPr="003C20E5">
        <w:rPr>
          <w:rFonts w:cstheme="minorHAnsi"/>
          <w:color w:val="202124"/>
          <w:shd w:val="clear" w:color="auto" w:fill="FFFFFF"/>
        </w:rPr>
        <w:t xml:space="preserve"> </w:t>
      </w:r>
      <w:proofErr w:type="spellStart"/>
      <w:r w:rsidR="00565050" w:rsidRPr="003C20E5">
        <w:rPr>
          <w:rFonts w:cstheme="minorHAnsi"/>
          <w:color w:val="202124"/>
          <w:shd w:val="clear" w:color="auto" w:fill="FFFFFF"/>
        </w:rPr>
        <w:t>Sustainable</w:t>
      </w:r>
      <w:proofErr w:type="spellEnd"/>
      <w:r w:rsidR="00565050" w:rsidRPr="003C20E5">
        <w:rPr>
          <w:rFonts w:cstheme="minorHAnsi"/>
          <w:color w:val="202124"/>
          <w:shd w:val="clear" w:color="auto" w:fill="FFFFFF"/>
        </w:rPr>
        <w:t xml:space="preserve"> Finance Disclosure Regulation (SFDR)</w:t>
      </w:r>
      <w:r w:rsidRPr="003C20E5">
        <w:rPr>
          <w:rFonts w:cstheme="minorHAnsi"/>
          <w:color w:val="202124"/>
          <w:shd w:val="clear" w:color="auto" w:fill="FFFFFF"/>
        </w:rPr>
        <w:t xml:space="preserve"> </w:t>
      </w:r>
      <w:bookmarkEnd w:id="0"/>
      <w:r w:rsidR="00E93A5F">
        <w:rPr>
          <w:rFonts w:cstheme="minorHAnsi"/>
          <w:color w:val="202124"/>
          <w:shd w:val="clear" w:color="auto" w:fill="FFFFFF"/>
        </w:rPr>
        <w:t>bzw. Offenlegungs-VO</w:t>
      </w:r>
      <w:r w:rsidR="00565050" w:rsidRPr="003C20E5">
        <w:rPr>
          <w:rFonts w:cstheme="minorHAnsi"/>
          <w:bCs/>
          <w:color w:val="1A0DAB"/>
          <w:shd w:val="clear" w:color="auto" w:fill="FFFFFF"/>
        </w:rPr>
        <w:t xml:space="preserve"> </w:t>
      </w:r>
      <w:r w:rsidR="00B52DFE" w:rsidRPr="003C20E5">
        <w:rPr>
          <w:rFonts w:cstheme="minorHAnsi"/>
        </w:rPr>
        <w:t>mu</w:t>
      </w:r>
      <w:r w:rsidR="00E94FCB" w:rsidRPr="003C20E5">
        <w:rPr>
          <w:rFonts w:cstheme="minorHAnsi"/>
        </w:rPr>
        <w:t>ss</w:t>
      </w:r>
      <w:r w:rsidR="00B52DFE" w:rsidRPr="003C20E5">
        <w:rPr>
          <w:rFonts w:cstheme="minorHAnsi"/>
        </w:rPr>
        <w:t xml:space="preserve"> die </w:t>
      </w:r>
      <w:r w:rsidR="00E94FCB" w:rsidRPr="003C20E5">
        <w:rPr>
          <w:rFonts w:cstheme="minorHAnsi"/>
        </w:rPr>
        <w:t>Finanz</w:t>
      </w:r>
      <w:r w:rsidR="00B52DFE" w:rsidRPr="003C20E5">
        <w:rPr>
          <w:rFonts w:cstheme="minorHAnsi"/>
        </w:rPr>
        <w:t xml:space="preserve">industrie </w:t>
      </w:r>
      <w:r w:rsidRPr="003C20E5">
        <w:rPr>
          <w:rFonts w:cstheme="minorHAnsi"/>
        </w:rPr>
        <w:t xml:space="preserve">im Kern </w:t>
      </w:r>
      <w:r w:rsidR="00B52DFE" w:rsidRPr="003C20E5">
        <w:rPr>
          <w:rFonts w:cstheme="minorHAnsi"/>
        </w:rPr>
        <w:t>Produkte in drei Kategorien als nachhaltig klassifizieren, damit sie als nachhaltig verkauft werden dürfen</w:t>
      </w:r>
      <w:r w:rsidR="003C20E5">
        <w:rPr>
          <w:rFonts w:cstheme="minorHAnsi"/>
        </w:rPr>
        <w:t xml:space="preserve">: </w:t>
      </w:r>
      <w:r w:rsidRPr="003C20E5">
        <w:rPr>
          <w:rFonts w:cstheme="minorHAnsi"/>
          <w:color w:val="202124"/>
          <w:shd w:val="clear" w:color="auto" w:fill="FFFFFF"/>
        </w:rPr>
        <w:t>1) </w:t>
      </w:r>
      <w:r w:rsidRPr="003C20E5">
        <w:rPr>
          <w:rFonts w:cstheme="minorHAnsi"/>
          <w:b/>
          <w:bCs/>
          <w:color w:val="202124"/>
          <w:shd w:val="clear" w:color="auto" w:fill="FFFFFF"/>
        </w:rPr>
        <w:t>Finanzprodukte</w:t>
      </w:r>
      <w:r w:rsidR="00D26075">
        <w:rPr>
          <w:rFonts w:cstheme="minorHAnsi"/>
          <w:color w:val="202124"/>
          <w:shd w:val="clear" w:color="auto" w:fill="FFFFFF"/>
        </w:rPr>
        <w:t xml:space="preserve"> </w:t>
      </w:r>
      <w:r w:rsidRPr="003C20E5">
        <w:rPr>
          <w:rFonts w:cstheme="minorHAnsi"/>
          <w:color w:val="202124"/>
          <w:shd w:val="clear" w:color="auto" w:fill="FFFFFF"/>
        </w:rPr>
        <w:t xml:space="preserve">mit ökologischen oder sozialen Merkmalen (Artikel 8 – light </w:t>
      </w:r>
      <w:proofErr w:type="spellStart"/>
      <w:r w:rsidRPr="003C20E5">
        <w:rPr>
          <w:rFonts w:cstheme="minorHAnsi"/>
          <w:color w:val="202124"/>
          <w:shd w:val="clear" w:color="auto" w:fill="FFFFFF"/>
        </w:rPr>
        <w:t>green</w:t>
      </w:r>
      <w:proofErr w:type="spellEnd"/>
      <w:r w:rsidRPr="003C20E5">
        <w:rPr>
          <w:rFonts w:cstheme="minorHAnsi"/>
          <w:color w:val="202124"/>
          <w:shd w:val="clear" w:color="auto" w:fill="FFFFFF"/>
        </w:rPr>
        <w:t>), 2)</w:t>
      </w:r>
      <w:r w:rsidR="00D26075">
        <w:rPr>
          <w:rFonts w:cstheme="minorHAnsi"/>
          <w:color w:val="202124"/>
          <w:shd w:val="clear" w:color="auto" w:fill="FFFFFF"/>
        </w:rPr>
        <w:t xml:space="preserve"> </w:t>
      </w:r>
      <w:r w:rsidRPr="003C20E5">
        <w:rPr>
          <w:rFonts w:cstheme="minorHAnsi"/>
          <w:b/>
          <w:bCs/>
          <w:color w:val="202124"/>
          <w:shd w:val="clear" w:color="auto" w:fill="FFFFFF"/>
        </w:rPr>
        <w:t>Nachhaltige Finanzprodukte</w:t>
      </w:r>
      <w:r w:rsidR="00D26075">
        <w:rPr>
          <w:rFonts w:cstheme="minorHAnsi"/>
          <w:color w:val="202124"/>
          <w:shd w:val="clear" w:color="auto" w:fill="FFFFFF"/>
        </w:rPr>
        <w:t xml:space="preserve"> </w:t>
      </w:r>
      <w:r w:rsidRPr="003C20E5">
        <w:rPr>
          <w:rFonts w:cstheme="minorHAnsi"/>
          <w:color w:val="202124"/>
          <w:shd w:val="clear" w:color="auto" w:fill="FFFFFF"/>
        </w:rPr>
        <w:t xml:space="preserve">mit einer angestrebten Nachhaltigkeitswirkung (Artikel 9 – </w:t>
      </w:r>
      <w:proofErr w:type="spellStart"/>
      <w:r w:rsidRPr="003C20E5">
        <w:rPr>
          <w:rFonts w:cstheme="minorHAnsi"/>
          <w:color w:val="202124"/>
          <w:shd w:val="clear" w:color="auto" w:fill="FFFFFF"/>
        </w:rPr>
        <w:t>dark</w:t>
      </w:r>
      <w:proofErr w:type="spellEnd"/>
      <w:r w:rsidRPr="003C20E5">
        <w:rPr>
          <w:rFonts w:cstheme="minorHAnsi"/>
          <w:color w:val="202124"/>
          <w:shd w:val="clear" w:color="auto" w:fill="FFFFFF"/>
        </w:rPr>
        <w:t xml:space="preserve"> </w:t>
      </w:r>
      <w:proofErr w:type="spellStart"/>
      <w:r w:rsidRPr="003C20E5">
        <w:rPr>
          <w:rFonts w:cstheme="minorHAnsi"/>
          <w:color w:val="202124"/>
          <w:shd w:val="clear" w:color="auto" w:fill="FFFFFF"/>
        </w:rPr>
        <w:t>green</w:t>
      </w:r>
      <w:proofErr w:type="spellEnd"/>
      <w:r w:rsidRPr="003C20E5">
        <w:rPr>
          <w:rFonts w:cstheme="minorHAnsi"/>
          <w:color w:val="202124"/>
          <w:shd w:val="clear" w:color="auto" w:fill="FFFFFF"/>
        </w:rPr>
        <w:t xml:space="preserve">) und 3) </w:t>
      </w:r>
      <w:r w:rsidRPr="006577FD">
        <w:rPr>
          <w:rFonts w:cstheme="minorHAnsi"/>
          <w:b/>
          <w:color w:val="202124"/>
          <w:shd w:val="clear" w:color="auto" w:fill="FFFFFF"/>
        </w:rPr>
        <w:t>Sonstige</w:t>
      </w:r>
      <w:r w:rsidR="00D26075" w:rsidRPr="006577FD">
        <w:rPr>
          <w:rFonts w:cstheme="minorHAnsi"/>
          <w:b/>
          <w:color w:val="202124"/>
          <w:shd w:val="clear" w:color="auto" w:fill="FFFFFF"/>
        </w:rPr>
        <w:t xml:space="preserve"> </w:t>
      </w:r>
      <w:r w:rsidRPr="003C20E5">
        <w:rPr>
          <w:rFonts w:cstheme="minorHAnsi"/>
          <w:b/>
          <w:bCs/>
          <w:color w:val="202124"/>
          <w:shd w:val="clear" w:color="auto" w:fill="FFFFFF"/>
        </w:rPr>
        <w:t>Finanzprodukte</w:t>
      </w:r>
      <w:r w:rsidRPr="003C20E5">
        <w:rPr>
          <w:rFonts w:cstheme="minorHAnsi"/>
          <w:color w:val="202124"/>
          <w:shd w:val="clear" w:color="auto" w:fill="FFFFFF"/>
        </w:rPr>
        <w:t>.</w:t>
      </w:r>
    </w:p>
    <w:p w14:paraId="07318BB4" w14:textId="6CF7B146" w:rsidR="00885FEE" w:rsidRDefault="00885FEE" w:rsidP="00721A2B">
      <w:r>
        <w:t>Derzeit definiert die Taxonomie-VO nur teilweise, welche Aktivitäten in einem Unternehmen als nachhaltig zu bezeichnen sind.</w:t>
      </w:r>
      <w:r w:rsidR="003E5C2B">
        <w:t xml:space="preserve"> </w:t>
      </w:r>
      <w:r w:rsidR="003E5C2B">
        <w:t>Um finanzielle Mittel aber nachhaltig investieren zu können, bedarf es entsprechender Daten von Unternehmen.</w:t>
      </w:r>
    </w:p>
    <w:p w14:paraId="7E6E7387" w14:textId="14F90479" w:rsidR="00422DC5" w:rsidRDefault="004E2FEB" w:rsidP="00721A2B">
      <w:r>
        <w:t>A</w:t>
      </w:r>
      <w:r w:rsidR="0014302F">
        <w:t xml:space="preserve">b August 2022 </w:t>
      </w:r>
      <w:r>
        <w:t xml:space="preserve">wird die </w:t>
      </w:r>
      <w:r w:rsidR="00B52DFE" w:rsidRPr="007D4915">
        <w:t xml:space="preserve">Nachhaltigkeitspräferenz </w:t>
      </w:r>
      <w:r>
        <w:t>bei Anlageprodukten von Banken und Versicherungen erhoben.</w:t>
      </w:r>
      <w:r w:rsidR="00983B55">
        <w:t xml:space="preserve"> </w:t>
      </w:r>
      <w:r w:rsidR="0014302F">
        <w:t>Diese Maßnahme zielt darauf ab, dass zukünftig Berater die</w:t>
      </w:r>
      <w:r>
        <w:t xml:space="preserve"> Nachhaltigkeitspräferenz</w:t>
      </w:r>
      <w:r w:rsidR="0014302F">
        <w:t xml:space="preserve"> ihrer Kunden bei der Produktvermittlung erheben müssen.</w:t>
      </w:r>
      <w:r w:rsidR="00A33B61">
        <w:t xml:space="preserve"> </w:t>
      </w:r>
    </w:p>
    <w:p w14:paraId="628A126D" w14:textId="1C6AD2E9" w:rsidR="00B52DFE" w:rsidRDefault="00422DC5" w:rsidP="00721A2B">
      <w:r>
        <w:lastRenderedPageBreak/>
        <w:t xml:space="preserve">Ab Juli 2023 </w:t>
      </w:r>
      <w:r w:rsidR="00983B55">
        <w:t xml:space="preserve"> müssen </w:t>
      </w:r>
      <w:r w:rsidR="00B52DFE">
        <w:t>Fonds</w:t>
      </w:r>
      <w:r w:rsidR="00A33B61">
        <w:t>- und Lebensversiche</w:t>
      </w:r>
      <w:r w:rsidR="00E93A5F">
        <w:t>ru</w:t>
      </w:r>
      <w:r w:rsidR="00A33B61">
        <w:t>ngs</w:t>
      </w:r>
      <w:r w:rsidR="00B52DFE">
        <w:t>gesellschaften auf Unternehmensebene</w:t>
      </w:r>
      <w:r>
        <w:t xml:space="preserve"> zusätzlich </w:t>
      </w:r>
      <w:r w:rsidR="00B52DFE">
        <w:t xml:space="preserve">die </w:t>
      </w:r>
      <w:r w:rsidR="00C74CB5">
        <w:t xml:space="preserve">nachteiligen Auswirkungen </w:t>
      </w:r>
      <w:r w:rsidR="00A33B61">
        <w:t xml:space="preserve">ihrer Investitionen </w:t>
      </w:r>
      <w:r w:rsidR="00C74CB5">
        <w:t>auf Nachhaltigkeit</w:t>
      </w:r>
      <w:r w:rsidR="00185D11">
        <w:t xml:space="preserve"> berichten. Dies</w:t>
      </w:r>
      <w:r w:rsidR="00983B55">
        <w:t>e</w:t>
      </w:r>
      <w:r w:rsidR="00185D11">
        <w:t xml:space="preserve"> Zielgrößen </w:t>
      </w:r>
      <w:r w:rsidR="00983B55">
        <w:t xml:space="preserve">sollen </w:t>
      </w:r>
      <w:r w:rsidR="00185D11">
        <w:t>von Unternehmen der Realwirtschaft in der nichtfinanziellen Berichterstattung nach der Richtlinie zur Nachhaltigkeitsberichterstattung</w:t>
      </w:r>
      <w:r w:rsidR="00983B55">
        <w:t xml:space="preserve"> -</w:t>
      </w:r>
      <w:r w:rsidR="00185D11">
        <w:t xml:space="preserve"> Corporate </w:t>
      </w:r>
      <w:proofErr w:type="spellStart"/>
      <w:r w:rsidR="00185D11">
        <w:t>Sustainable</w:t>
      </w:r>
      <w:proofErr w:type="spellEnd"/>
      <w:r w:rsidR="00185D11">
        <w:t xml:space="preserve"> Reporting </w:t>
      </w:r>
      <w:proofErr w:type="spellStart"/>
      <w:r w:rsidR="00185D11">
        <w:t>Directive</w:t>
      </w:r>
      <w:proofErr w:type="spellEnd"/>
      <w:r w:rsidR="00185D11">
        <w:t xml:space="preserve"> (CSRD)</w:t>
      </w:r>
      <w:r w:rsidR="00983B55">
        <w:t xml:space="preserve"> </w:t>
      </w:r>
      <w:r w:rsidR="006577FD">
        <w:t xml:space="preserve">- </w:t>
      </w:r>
      <w:r w:rsidR="00185D11">
        <w:t>berichtet werden. (</w:t>
      </w:r>
      <w:r w:rsidR="00F3148A">
        <w:t xml:space="preserve">Zielgrößen </w:t>
      </w:r>
      <w:r w:rsidR="00793A12">
        <w:t>‚</w:t>
      </w:r>
      <w:proofErr w:type="spellStart"/>
      <w:r w:rsidR="00793A12">
        <w:t>Principle</w:t>
      </w:r>
      <w:proofErr w:type="spellEnd"/>
      <w:r w:rsidR="00793A12">
        <w:t xml:space="preserve"> Adverse Impacts‘ </w:t>
      </w:r>
      <w:r w:rsidR="00F3148A">
        <w:t>nach der Offenlegungs-VO</w:t>
      </w:r>
      <w:r w:rsidR="00A962BF">
        <w:t>,</w:t>
      </w:r>
      <w:r w:rsidR="00A95628">
        <w:t xml:space="preserve"> </w:t>
      </w:r>
      <w:r w:rsidR="00185D11">
        <w:t xml:space="preserve">siehe </w:t>
      </w:r>
      <w:r w:rsidR="00B52DFE">
        <w:t>Anhang</w:t>
      </w:r>
      <w:r w:rsidR="00771027">
        <w:t xml:space="preserve"> I</w:t>
      </w:r>
      <w:r w:rsidR="00B52DFE">
        <w:t xml:space="preserve">). </w:t>
      </w:r>
    </w:p>
    <w:p w14:paraId="08DC0767" w14:textId="1CF9E3D7" w:rsidR="007846A7" w:rsidRDefault="00885FEE" w:rsidP="007846A7">
      <w:r>
        <w:t xml:space="preserve">Mit der CSRD wird beabsichtigt, die Daten zur Taxonomie einheitlich zu erheben. </w:t>
      </w:r>
      <w:r w:rsidR="003E5C2B">
        <w:t xml:space="preserve">Durch Änderung der Transparenzrichtlinie wird die Veröffentlichungspflicht auf alle an geregelten Märkten notierten Unternehmen, auch kapitalmarktfinanzierte KMUs, erweitert. </w:t>
      </w:r>
      <w:r w:rsidR="003E5C2B">
        <w:t xml:space="preserve">Die </w:t>
      </w:r>
      <w:r w:rsidR="0047453F">
        <w:t xml:space="preserve">Daten </w:t>
      </w:r>
      <w:r>
        <w:t xml:space="preserve">sollen </w:t>
      </w:r>
      <w:r w:rsidR="0047453F">
        <w:t>in der nichtfinanziellen Berichterstattung in einer maschinenlesbaren Form von Unternehmen mit mehr als</w:t>
      </w:r>
      <w:r w:rsidR="00C65351">
        <w:t xml:space="preserve"> 250</w:t>
      </w:r>
      <w:r w:rsidR="0047453F">
        <w:t xml:space="preserve"> Mitarbeitern</w:t>
      </w:r>
      <w:r w:rsidR="00835115">
        <w:t xml:space="preserve"> </w:t>
      </w:r>
      <w:r w:rsidR="0047453F">
        <w:t>veröffentlicht werden</w:t>
      </w:r>
      <w:r w:rsidR="007846A7">
        <w:t>.</w:t>
      </w:r>
      <w:r w:rsidR="00835115">
        <w:t xml:space="preserve"> </w:t>
      </w:r>
      <w:r w:rsidR="00983B55">
        <w:t>Dies jedoch mit gesonderten, geminderten Anforderungen, denn f</w:t>
      </w:r>
      <w:r w:rsidR="00835115">
        <w:t xml:space="preserve">ür andere KMUs soll die reduzierte </w:t>
      </w:r>
      <w:r w:rsidR="007846A7">
        <w:t xml:space="preserve">Veröffentlichung </w:t>
      </w:r>
      <w:r w:rsidR="00B52DFE">
        <w:t>freiwillig sein.</w:t>
      </w:r>
      <w:r w:rsidR="00223B76">
        <w:t xml:space="preserve"> </w:t>
      </w:r>
      <w:r w:rsidR="00652B2B">
        <w:t xml:space="preserve">Allerdings ist davon auszugehen, dass Kapitalgeber und realwirtschaftliche Wertschöpfungspartner auch von dieser Zielgruppe </w:t>
      </w:r>
      <w:r w:rsidR="004904FA">
        <w:t>T</w:t>
      </w:r>
      <w:r w:rsidR="00652B2B">
        <w:t>axonomie</w:t>
      </w:r>
      <w:r w:rsidR="004904FA">
        <w:t>-</w:t>
      </w:r>
      <w:r w:rsidR="00652B2B">
        <w:t>konforme Daten anfordern, da sie ohne diesen Schritt eigene Berichtspflichten nicht erfüllen können.</w:t>
      </w:r>
      <w:r w:rsidR="00422DC5">
        <w:t xml:space="preserve"> </w:t>
      </w:r>
    </w:p>
    <w:p w14:paraId="7C14A606" w14:textId="77777777" w:rsidR="007846A7" w:rsidRPr="007846A7" w:rsidRDefault="007846A7">
      <w:pPr>
        <w:rPr>
          <w:b/>
        </w:rPr>
      </w:pPr>
      <w:r w:rsidRPr="007846A7">
        <w:rPr>
          <w:b/>
        </w:rPr>
        <w:t>Zeitliche Abfolge der EU Regulierung als Zwickmühle</w:t>
      </w:r>
    </w:p>
    <w:p w14:paraId="3F322971" w14:textId="39A68067" w:rsidR="00AF5FDA" w:rsidRDefault="00983B55">
      <w:r>
        <w:t>D</w:t>
      </w:r>
      <w:r w:rsidR="0047453F">
        <w:t xml:space="preserve">ie Finanzindustrie </w:t>
      </w:r>
      <w:r>
        <w:t xml:space="preserve">hat </w:t>
      </w:r>
      <w:r w:rsidR="0047453F">
        <w:t xml:space="preserve">ein großes Interesse an diesen Daten und ab Juli bzw. August 2022 </w:t>
      </w:r>
      <w:r>
        <w:t xml:space="preserve">ist sie </w:t>
      </w:r>
      <w:r w:rsidR="0047453F">
        <w:t>aufgrund der Offenlegungs</w:t>
      </w:r>
      <w:r w:rsidR="00103341">
        <w:t>-</w:t>
      </w:r>
      <w:r w:rsidR="0047453F">
        <w:t>VO</w:t>
      </w:r>
      <w:r w:rsidR="00AF5FDA">
        <w:t>, Taxonomie-VO</w:t>
      </w:r>
      <w:r w:rsidR="0047453F">
        <w:t xml:space="preserve"> und </w:t>
      </w:r>
      <w:r>
        <w:t xml:space="preserve">der </w:t>
      </w:r>
      <w:r w:rsidR="0047453F">
        <w:t>MIFID II Änderung</w:t>
      </w:r>
      <w:r>
        <w:t>en dazu</w:t>
      </w:r>
      <w:r w:rsidR="0047453F">
        <w:t xml:space="preserve"> verpflichtet, diese Daten zu veröffentlichen oder bei der Nachhaltigkeitspräferenzabfrage der Kunden im Beratungsgespräch zu verwenden</w:t>
      </w:r>
      <w:r>
        <w:t>.</w:t>
      </w:r>
      <w:r w:rsidR="0047453F">
        <w:t xml:space="preserve"> </w:t>
      </w:r>
      <w:r>
        <w:t xml:space="preserve">Für die Unternehmen </w:t>
      </w:r>
      <w:r w:rsidR="0047453F">
        <w:t xml:space="preserve">bedeutet diese Berichtspflicht einen erneuten </w:t>
      </w:r>
      <w:r w:rsidR="00652B2B">
        <w:t xml:space="preserve">und erheblichen </w:t>
      </w:r>
      <w:r w:rsidR="0047453F">
        <w:t>zusätzlichen Aufwand.</w:t>
      </w:r>
      <w:r w:rsidR="00223B76">
        <w:t xml:space="preserve"> </w:t>
      </w:r>
      <w:r w:rsidR="00652B2B">
        <w:t>Systematische Darstellungen und Leitfäden dazu, wie die betroffenen Unternehmen damit umgehen können, stehen bisher nicht zur Verfügung und sich auch nicht ohne Weiteres erstellbar.</w:t>
      </w:r>
    </w:p>
    <w:p w14:paraId="026CB83C" w14:textId="4398CC54" w:rsidR="007846A7" w:rsidRDefault="007846A7" w:rsidP="007846A7">
      <w:pPr>
        <w:rPr>
          <w:b/>
        </w:rPr>
      </w:pPr>
      <w:r>
        <w:t xml:space="preserve">Nach dem Entwurf der CSRD </w:t>
      </w:r>
      <w:r w:rsidR="00721A2B">
        <w:t xml:space="preserve">vom </w:t>
      </w:r>
      <w:r>
        <w:t xml:space="preserve">April 2021 </w:t>
      </w:r>
      <w:r w:rsidR="00771027">
        <w:t xml:space="preserve">(siehe Anhang II) </w:t>
      </w:r>
      <w:r>
        <w:t xml:space="preserve">sollen </w:t>
      </w:r>
      <w:r w:rsidR="00A920A4">
        <w:t>technische Durchführungsmaßnahmen</w:t>
      </w:r>
      <w:r>
        <w:t xml:space="preserve"> für große Unternehmen bis </w:t>
      </w:r>
      <w:r w:rsidR="00F3148A">
        <w:t xml:space="preserve">zum </w:t>
      </w:r>
      <w:r>
        <w:t>31. Oktober 2022 und für kl</w:t>
      </w:r>
      <w:r w:rsidR="00C672DE">
        <w:t>einere und mittlere Unternehmen bis zum 31.</w:t>
      </w:r>
      <w:r w:rsidR="00E93A5F">
        <w:t xml:space="preserve"> Oktober </w:t>
      </w:r>
      <w:r w:rsidR="00C672DE">
        <w:t>2023</w:t>
      </w:r>
      <w:r w:rsidR="00721A2B">
        <w:t xml:space="preserve"> umgesetzt werden</w:t>
      </w:r>
      <w:r w:rsidR="00C672DE">
        <w:t>.</w:t>
      </w:r>
      <w:r>
        <w:t xml:space="preserve"> </w:t>
      </w:r>
      <w:r w:rsidR="00C672DE">
        <w:t>Die Berichtspflicht soll für große Unternehmen ab dem 1.1.</w:t>
      </w:r>
      <w:r w:rsidR="00721A2B">
        <w:t>202</w:t>
      </w:r>
      <w:r w:rsidR="00C672DE">
        <w:t xml:space="preserve">4 </w:t>
      </w:r>
      <w:r w:rsidR="00C44A27">
        <w:t xml:space="preserve">für das Geschäftsjahr 2023 gelten </w:t>
      </w:r>
      <w:r w:rsidR="00C672DE">
        <w:t xml:space="preserve">und für kleine und mittlere Unternehmen </w:t>
      </w:r>
      <w:r w:rsidR="00721A2B">
        <w:t xml:space="preserve">am </w:t>
      </w:r>
      <w:r w:rsidR="00C672DE">
        <w:t>1.1.2026 beginnen.</w:t>
      </w:r>
    </w:p>
    <w:p w14:paraId="60D77D03" w14:textId="77777777" w:rsidR="006577FD" w:rsidRPr="006577FD" w:rsidRDefault="00B52DFE" w:rsidP="006577FD">
      <w:pPr>
        <w:rPr>
          <w:b/>
        </w:rPr>
      </w:pPr>
      <w:r w:rsidRPr="006577FD">
        <w:rPr>
          <w:b/>
        </w:rPr>
        <w:t>Wie können die Gesetzespakete für die Real- und die Finanzwirtschaft gestemmt werden?</w:t>
      </w:r>
    </w:p>
    <w:p w14:paraId="569F6E02" w14:textId="3CE2B8C7" w:rsidR="00501310" w:rsidRPr="006577FD" w:rsidRDefault="009A7D41" w:rsidP="006577FD">
      <w:pPr>
        <w:pStyle w:val="Listenabsatz"/>
        <w:numPr>
          <w:ilvl w:val="0"/>
          <w:numId w:val="12"/>
        </w:numPr>
        <w:ind w:left="426" w:hanging="426"/>
        <w:rPr>
          <w:b/>
        </w:rPr>
      </w:pPr>
      <w:r w:rsidRPr="006577FD">
        <w:rPr>
          <w:b/>
        </w:rPr>
        <w:t xml:space="preserve">Einigung auf ökologische </w:t>
      </w:r>
      <w:r w:rsidR="007846A7" w:rsidRPr="006577FD">
        <w:rPr>
          <w:b/>
        </w:rPr>
        <w:t>Kern-Zielgrößen</w:t>
      </w:r>
      <w:r w:rsidRPr="006577FD">
        <w:rPr>
          <w:b/>
        </w:rPr>
        <w:t xml:space="preserve"> bis Oktober 2022</w:t>
      </w:r>
      <w:r w:rsidR="007846A7" w:rsidRPr="006577FD">
        <w:rPr>
          <w:b/>
        </w:rPr>
        <w:t>, umfassende Berichterstattung nach sorgfältiger Planung und Umsetzung</w:t>
      </w:r>
    </w:p>
    <w:p w14:paraId="79AB930E" w14:textId="06039235" w:rsidR="00B52DFE" w:rsidRDefault="009A7D41" w:rsidP="00501310">
      <w:pPr>
        <w:pStyle w:val="Listenabsatz"/>
        <w:ind w:left="426"/>
      </w:pPr>
      <w:r>
        <w:t xml:space="preserve">Die zentrale Zielsetzung ist, </w:t>
      </w:r>
      <w:r w:rsidR="00721A2B">
        <w:t xml:space="preserve">dass der </w:t>
      </w:r>
      <w:r>
        <w:t xml:space="preserve">europäische Kontinent </w:t>
      </w:r>
      <w:r w:rsidR="00721A2B">
        <w:t>bis 2050 klima</w:t>
      </w:r>
      <w:r>
        <w:t xml:space="preserve">neutral </w:t>
      </w:r>
      <w:r w:rsidR="00652B2B">
        <w:t>wird</w:t>
      </w:r>
      <w:r>
        <w:t xml:space="preserve">. </w:t>
      </w:r>
      <w:r w:rsidR="00721A2B">
        <w:t>I</w:t>
      </w:r>
      <w:r>
        <w:t xml:space="preserve">m </w:t>
      </w:r>
      <w:r w:rsidR="00501310">
        <w:t xml:space="preserve"> </w:t>
      </w:r>
      <w:r>
        <w:t>Interesse der Finanz</w:t>
      </w:r>
      <w:r w:rsidR="00721A2B">
        <w:t>- und Real</w:t>
      </w:r>
      <w:r>
        <w:t xml:space="preserve">wirtschaft </w:t>
      </w:r>
      <w:r w:rsidR="00721A2B">
        <w:t xml:space="preserve">sollte </w:t>
      </w:r>
      <w:r>
        <w:t xml:space="preserve">darauf bis </w:t>
      </w:r>
      <w:r w:rsidR="00B52DFE">
        <w:t xml:space="preserve">zum Erlass der CSRD bis </w:t>
      </w:r>
      <w:r>
        <w:t xml:space="preserve">Oktober 2022 der Fokus gelegt werden und </w:t>
      </w:r>
      <w:r w:rsidR="00501310">
        <w:t xml:space="preserve">in der Folge </w:t>
      </w:r>
      <w:r>
        <w:t>die weiteren Dimension</w:t>
      </w:r>
      <w:r w:rsidR="001D7172">
        <w:t xml:space="preserve">en (Soziales und </w:t>
      </w:r>
      <w:proofErr w:type="spellStart"/>
      <w:r w:rsidR="001D7172">
        <w:t>Gute</w:t>
      </w:r>
      <w:proofErr w:type="spellEnd"/>
      <w:r w:rsidR="001D7172">
        <w:t xml:space="preserve"> Unternehmensführung)</w:t>
      </w:r>
      <w:r>
        <w:t xml:space="preserve">  mit großer Sorgfalt, </w:t>
      </w:r>
      <w:r w:rsidR="001934F8">
        <w:t xml:space="preserve">ohne Zeitdruck, </w:t>
      </w:r>
      <w:r>
        <w:t>wenn möglich i</w:t>
      </w:r>
      <w:r w:rsidR="00721A2B">
        <w:t xml:space="preserve">m </w:t>
      </w:r>
      <w:r>
        <w:t>internationale</w:t>
      </w:r>
      <w:r w:rsidR="00721A2B">
        <w:t>n</w:t>
      </w:r>
      <w:r>
        <w:t xml:space="preserve"> Kontext</w:t>
      </w:r>
      <w:r w:rsidR="001934F8">
        <w:t>,</w:t>
      </w:r>
      <w:r w:rsidR="00223B76">
        <w:t xml:space="preserve"> </w:t>
      </w:r>
      <w:r w:rsidR="001934F8">
        <w:t xml:space="preserve">unter weitestmöglicher Begrenzung der Anforderungen und in Verbindung mit sorgfältigen Folgenabschätzungen bzgl. der praktischen Handhabbarkeit </w:t>
      </w:r>
      <w:r>
        <w:t>ausgearbeitet werden.</w:t>
      </w:r>
      <w:r w:rsidR="00885FEE">
        <w:t xml:space="preserve"> </w:t>
      </w:r>
      <w:r w:rsidR="00B52DFE">
        <w:t xml:space="preserve">Damit könnte die ökologische, nichtfinanzielle Berichterstattung von großen Unternehmen </w:t>
      </w:r>
      <w:r w:rsidR="00405F07">
        <w:t xml:space="preserve">mit mehr als 500 Mitarbeitern </w:t>
      </w:r>
      <w:r w:rsidR="00B52DFE">
        <w:t>ab 1.1.202</w:t>
      </w:r>
      <w:r w:rsidR="00C44A27">
        <w:t>4</w:t>
      </w:r>
      <w:r w:rsidR="00B52DFE">
        <w:t xml:space="preserve"> auf ein einheitliches Fundament gestellt werden. </w:t>
      </w:r>
    </w:p>
    <w:p w14:paraId="6EEE0EB6" w14:textId="77777777" w:rsidR="006577FD" w:rsidRDefault="006577FD" w:rsidP="00501310">
      <w:pPr>
        <w:pStyle w:val="Listenabsatz"/>
        <w:ind w:left="426"/>
      </w:pPr>
    </w:p>
    <w:p w14:paraId="1373492C" w14:textId="0B2ADBE2" w:rsidR="00501310" w:rsidRPr="006577FD" w:rsidRDefault="001D7172" w:rsidP="006577FD">
      <w:pPr>
        <w:pStyle w:val="Listenabsatz"/>
        <w:numPr>
          <w:ilvl w:val="0"/>
          <w:numId w:val="12"/>
        </w:numPr>
        <w:ind w:left="426" w:hanging="426"/>
        <w:rPr>
          <w:b/>
        </w:rPr>
      </w:pPr>
      <w:r w:rsidRPr="006577FD">
        <w:rPr>
          <w:b/>
        </w:rPr>
        <w:t xml:space="preserve">Gemeinsam </w:t>
      </w:r>
      <w:r w:rsidR="006B5A38" w:rsidRPr="006577FD">
        <w:rPr>
          <w:b/>
        </w:rPr>
        <w:t>Aufklärung und Bildung verstärken</w:t>
      </w:r>
    </w:p>
    <w:p w14:paraId="6C095C56" w14:textId="1F3AA54A" w:rsidR="00501310" w:rsidRDefault="00456493" w:rsidP="006577FD">
      <w:pPr>
        <w:pStyle w:val="Listenabsatz"/>
        <w:ind w:left="426"/>
      </w:pPr>
      <w:r>
        <w:t xml:space="preserve">Diese Revolution </w:t>
      </w:r>
      <w:r w:rsidR="00721A2B">
        <w:t xml:space="preserve">in der Umgestaltung </w:t>
      </w:r>
      <w:r w:rsidR="0027794E">
        <w:t>ist eine Chance. Aufklärung und</w:t>
      </w:r>
      <w:r>
        <w:t xml:space="preserve"> Informationsaustausch </w:t>
      </w:r>
      <w:r w:rsidR="0027794E">
        <w:t>sind ein wichtiger Schritt, damit alle Parteien verstehen, weshalb gewisse Prozesse, z.</w:t>
      </w:r>
      <w:r w:rsidR="00C74CB5">
        <w:t xml:space="preserve"> </w:t>
      </w:r>
      <w:r w:rsidR="0027794E">
        <w:t>B. die Datengewinnung</w:t>
      </w:r>
      <w:r w:rsidR="00B52DFE">
        <w:t>,</w:t>
      </w:r>
      <w:r w:rsidR="0027794E">
        <w:t xml:space="preserve"> wichtig </w:t>
      </w:r>
      <w:r w:rsidR="00AB55FB">
        <w:t>sind</w:t>
      </w:r>
      <w:r w:rsidR="0027794E">
        <w:t xml:space="preserve">. </w:t>
      </w:r>
      <w:r w:rsidR="001D7172">
        <w:t>Gemeinsame Anstrengungen</w:t>
      </w:r>
      <w:r w:rsidR="005F5893">
        <w:t xml:space="preserve"> wie Workshops mit Unternehmen können </w:t>
      </w:r>
      <w:r w:rsidR="001D7172">
        <w:t xml:space="preserve">von der Real- und der Finanzwirtschaft </w:t>
      </w:r>
      <w:r w:rsidR="00382755">
        <w:t xml:space="preserve">zusammen </w:t>
      </w:r>
      <w:r w:rsidR="005F5893">
        <w:t>u</w:t>
      </w:r>
      <w:r w:rsidR="001D7172">
        <w:t>nternommen werden.</w:t>
      </w:r>
      <w:r w:rsidR="00A962BF">
        <w:t xml:space="preserve"> </w:t>
      </w:r>
      <w:commentRangeStart w:id="1"/>
      <w:r w:rsidR="00B52DFE">
        <w:t xml:space="preserve">Die </w:t>
      </w:r>
      <w:r w:rsidR="00B52DFE">
        <w:lastRenderedPageBreak/>
        <w:t xml:space="preserve">Ermittlung der notwendigen Daten </w:t>
      </w:r>
      <w:r w:rsidR="00AB55FB">
        <w:t xml:space="preserve">sollte </w:t>
      </w:r>
      <w:r w:rsidR="00B52DFE">
        <w:t>handhabbar gemacht werden</w:t>
      </w:r>
      <w:r w:rsidR="00AB55FB">
        <w:t>, so dass d</w:t>
      </w:r>
      <w:r w:rsidR="00E93A5F">
        <w:t>er</w:t>
      </w:r>
      <w:r w:rsidR="001934F8">
        <w:t xml:space="preserve"> </w:t>
      </w:r>
      <w:r w:rsidR="00B52DFE">
        <w:t xml:space="preserve">Druck </w:t>
      </w:r>
      <w:r w:rsidR="00E93A5F">
        <w:t xml:space="preserve">auf </w:t>
      </w:r>
      <w:r w:rsidR="00B52DFE">
        <w:t>U</w:t>
      </w:r>
      <w:r w:rsidR="005F5893">
        <w:t>nternehmen</w:t>
      </w:r>
      <w:r w:rsidR="00AB55FB">
        <w:t xml:space="preserve"> </w:t>
      </w:r>
      <w:r w:rsidR="00E93A5F">
        <w:t>ab</w:t>
      </w:r>
      <w:r w:rsidR="00AB55FB">
        <w:t>nimmt</w:t>
      </w:r>
      <w:r w:rsidR="005F5893">
        <w:t xml:space="preserve">. </w:t>
      </w:r>
      <w:r w:rsidR="00AB55FB">
        <w:t>Inwiefern die Berichterstattung der Unternehmen über 500 Mitarbeiter auf kleinere Betriebe ausgeweitet werden kann, sollte nach Implementierung untersucht werden. Außerdem sollte evaluiert werden, welchen positiven Einfluss diese Einzelmaßnahmen auf die Nachhaltigkeit haben.</w:t>
      </w:r>
      <w:r w:rsidR="006577FD">
        <w:t xml:space="preserve"> </w:t>
      </w:r>
      <w:r w:rsidR="00AB55FB">
        <w:t>Diese Erfahrungen könnten dann über</w:t>
      </w:r>
      <w:r w:rsidR="000A07B2">
        <w:t xml:space="preserve"> Berufsschulen bis hin zu Hochschulen</w:t>
      </w:r>
      <w:r w:rsidR="00AB55FB">
        <w:t xml:space="preserve"> und über IHKs, HWKs, regionale Banken und weitere Netzwerke aufgezeigt werden, so dass Betriebe informiert </w:t>
      </w:r>
      <w:r w:rsidR="00865EF3">
        <w:t>werden und verstärkt grün</w:t>
      </w:r>
      <w:r w:rsidR="00AB55FB">
        <w:t>e Technologien einsetzen.</w:t>
      </w:r>
      <w:r w:rsidR="00865EF3">
        <w:t xml:space="preserve"> Eine verpflichtende Berichterstattung für Unternehmen unter 500 Mitarbeitern sollte bis dahin allerdings nicht eingeführt werden.</w:t>
      </w:r>
      <w:r w:rsidR="00AB55FB">
        <w:t xml:space="preserve"> </w:t>
      </w:r>
      <w:commentRangeEnd w:id="1"/>
      <w:r w:rsidR="001934F8">
        <w:rPr>
          <w:rStyle w:val="Kommentarzeichen"/>
        </w:rPr>
        <w:commentReference w:id="1"/>
      </w:r>
    </w:p>
    <w:p w14:paraId="3D4993F4" w14:textId="77777777" w:rsidR="006577FD" w:rsidRDefault="006577FD" w:rsidP="006577FD">
      <w:pPr>
        <w:pStyle w:val="Listenabsatz"/>
        <w:ind w:left="426"/>
      </w:pPr>
    </w:p>
    <w:p w14:paraId="5A8F9983" w14:textId="488C945F" w:rsidR="00501310" w:rsidRPr="006577FD" w:rsidRDefault="000A07B2" w:rsidP="006577FD">
      <w:pPr>
        <w:pStyle w:val="Listenabsatz"/>
        <w:numPr>
          <w:ilvl w:val="0"/>
          <w:numId w:val="12"/>
        </w:numPr>
        <w:ind w:left="426" w:hanging="426"/>
        <w:rPr>
          <w:b/>
        </w:rPr>
      </w:pPr>
      <w:r w:rsidRPr="006577FD">
        <w:rPr>
          <w:b/>
        </w:rPr>
        <w:t>Standardisierung</w:t>
      </w:r>
      <w:r w:rsidR="001D7172" w:rsidRPr="006577FD">
        <w:rPr>
          <w:b/>
        </w:rPr>
        <w:t xml:space="preserve"> im Berichtswesen</w:t>
      </w:r>
      <w:r w:rsidRPr="006577FD">
        <w:rPr>
          <w:b/>
        </w:rPr>
        <w:t xml:space="preserve"> kann auch Vereinfachung bedeuten</w:t>
      </w:r>
    </w:p>
    <w:p w14:paraId="6BC41AD4" w14:textId="520129C1" w:rsidR="005F5893" w:rsidRDefault="009E34C7" w:rsidP="00501310">
      <w:pPr>
        <w:pStyle w:val="Listenabsatz"/>
        <w:ind w:left="426"/>
      </w:pPr>
      <w:r>
        <w:t>Börsennotierte Unternehmen werden heute von einer Vielzahl von Datenanfragen konfrontiert. Ein einheitlicher Standard könnte den Aufwand für die Unternehmen reduzieren, wobei ein globaler Standard das Ziel bleiben mu</w:t>
      </w:r>
      <w:r w:rsidR="00382755">
        <w:t>ss</w:t>
      </w:r>
      <w:r>
        <w:t>. Europa setzt heute den Maßstab für nachhaltige Investitionen und ist am weitesten fortgeschritten.</w:t>
      </w:r>
    </w:p>
    <w:p w14:paraId="11ABB1EC" w14:textId="77777777" w:rsidR="00501310" w:rsidRDefault="00501310" w:rsidP="006577FD">
      <w:pPr>
        <w:pStyle w:val="Listenabsatz"/>
        <w:ind w:left="426"/>
      </w:pPr>
    </w:p>
    <w:p w14:paraId="1C59FA52" w14:textId="5424D93A" w:rsidR="00501310" w:rsidRPr="0068654E" w:rsidRDefault="000A07B2" w:rsidP="006577FD">
      <w:pPr>
        <w:pStyle w:val="Listenabsatz"/>
        <w:numPr>
          <w:ilvl w:val="0"/>
          <w:numId w:val="12"/>
        </w:numPr>
        <w:ind w:left="426" w:hanging="426"/>
        <w:rPr>
          <w:b/>
        </w:rPr>
      </w:pPr>
      <w:r w:rsidRPr="0068654E">
        <w:rPr>
          <w:b/>
        </w:rPr>
        <w:t>Umbau der Wirtschaft als wertschöpfende Chance</w:t>
      </w:r>
    </w:p>
    <w:p w14:paraId="31F5DF3B" w14:textId="0E891E0E" w:rsidR="00501310" w:rsidRDefault="001D7172" w:rsidP="006577FD">
      <w:pPr>
        <w:pStyle w:val="Listenabsatz"/>
        <w:ind w:left="426"/>
      </w:pPr>
      <w:commentRangeStart w:id="2"/>
      <w:r>
        <w:t>Entscheidend ist, da</w:t>
      </w:r>
      <w:r w:rsidR="00382755">
        <w:t>ss</w:t>
      </w:r>
      <w:r>
        <w:t xml:space="preserve"> die Energie der Unternehmer und Unternehmen auf die Veränderung der Real- und Finanzwirtschaft, also auf die Produktions- und Dienstleistungsprozesse, auf die Einkaufspolitik und die Zulieferketten gelegt wird. </w:t>
      </w:r>
      <w:commentRangeEnd w:id="2"/>
      <w:r w:rsidR="001934F8">
        <w:rPr>
          <w:rStyle w:val="Kommentarzeichen"/>
        </w:rPr>
        <w:commentReference w:id="2"/>
      </w:r>
      <w:r>
        <w:t xml:space="preserve">Viele weitreichende Schritte wurden und werden unternommen. Es ist notwendig die gesamte Breite der Gesellschaft und der Unternehmen dabei mitzunehmen, aber </w:t>
      </w:r>
      <w:r w:rsidR="00382755">
        <w:t>die Umgestaltung d</w:t>
      </w:r>
      <w:r w:rsidR="00E93A5F">
        <w:t>er</w:t>
      </w:r>
      <w:r w:rsidR="00382755">
        <w:t xml:space="preserve"> Wirtschaft darf die Akteure auch nicht überfordern. </w:t>
      </w:r>
      <w:commentRangeStart w:id="3"/>
      <w:r w:rsidR="000A07B2">
        <w:t>Veränderung bedeutet Chance, Chance auf beschleunigte Innovation, auf beschleunigte Investitionen, auf erhöhte regionale Wertschöpfun</w:t>
      </w:r>
      <w:r w:rsidR="0068654E">
        <w:t xml:space="preserve">g gerade von Handwerksbetrieben. </w:t>
      </w:r>
      <w:r w:rsidR="000A07B2">
        <w:t>Es bedeutet Umweltrisiken zu reduzieren und Schäden zu vermeiden, sei es in der Landwirtschaft</w:t>
      </w:r>
      <w:r w:rsidR="00382755">
        <w:t>,</w:t>
      </w:r>
      <w:r w:rsidR="000A07B2">
        <w:t xml:space="preserve"> </w:t>
      </w:r>
      <w:r w:rsidR="00382755">
        <w:t xml:space="preserve">in </w:t>
      </w:r>
      <w:r w:rsidR="000A07B2">
        <w:t xml:space="preserve">der Infrastruktur oder an Gebäuden. Es bedeutet Energieimporte zu reduzieren und als Wirtschaft autarker und regionaler zu werden, die Wertschöpfung im Land zu erhöhen. </w:t>
      </w:r>
      <w:commentRangeEnd w:id="3"/>
      <w:r w:rsidR="001934F8">
        <w:rPr>
          <w:rStyle w:val="Kommentarzeichen"/>
        </w:rPr>
        <w:commentReference w:id="3"/>
      </w:r>
    </w:p>
    <w:p w14:paraId="2F80FB35" w14:textId="77777777" w:rsidR="0070448D" w:rsidRDefault="0070448D">
      <w:r>
        <w:t xml:space="preserve">Die </w:t>
      </w:r>
      <w:proofErr w:type="spellStart"/>
      <w:r>
        <w:t>fpmi</w:t>
      </w:r>
      <w:proofErr w:type="spellEnd"/>
      <w:r>
        <w:t xml:space="preserve"> fordert:</w:t>
      </w:r>
    </w:p>
    <w:p w14:paraId="0231F693" w14:textId="2D1BD156" w:rsidR="00B16263" w:rsidRDefault="00B16263" w:rsidP="00B16263">
      <w:pPr>
        <w:pStyle w:val="Listenabsatz"/>
        <w:numPr>
          <w:ilvl w:val="0"/>
          <w:numId w:val="6"/>
        </w:numPr>
      </w:pPr>
      <w:r>
        <w:t xml:space="preserve">Die </w:t>
      </w:r>
      <w:r w:rsidR="00382755">
        <w:t>stufenweise</w:t>
      </w:r>
      <w:r>
        <w:t xml:space="preserve"> Einführung von Berichtspflichten nach sorgfältiger Prüfung und eine vollständige inhaltliche Abstimmung der CSRD, Taxonomie, Offenlegungs-</w:t>
      </w:r>
      <w:r w:rsidR="00E93A5F">
        <w:t xml:space="preserve">VO </w:t>
      </w:r>
      <w:r>
        <w:t xml:space="preserve">und anderer Nachhaltigkeitsregelungen. </w:t>
      </w:r>
      <w:r w:rsidR="00793A12">
        <w:rPr>
          <w:color w:val="000000" w:themeColor="text1"/>
        </w:rPr>
        <w:t xml:space="preserve">Ein Climate-first-Ansatz, der auch die </w:t>
      </w:r>
      <w:r w:rsidR="00A962BF">
        <w:rPr>
          <w:color w:val="000000" w:themeColor="text1"/>
        </w:rPr>
        <w:t>Offenlegungs-VO</w:t>
      </w:r>
      <w:r w:rsidR="00793A12">
        <w:rPr>
          <w:color w:val="000000" w:themeColor="text1"/>
        </w:rPr>
        <w:t xml:space="preserve"> für die anderen Dimensionen ausklammert, wird nicht befürwortet. </w:t>
      </w:r>
      <w:r>
        <w:t xml:space="preserve">Stufe 1 sollten die </w:t>
      </w:r>
      <w:r w:rsidR="009174D1">
        <w:t xml:space="preserve">Zielgrößen nach </w:t>
      </w:r>
      <w:r>
        <w:t xml:space="preserve">der Offenlegungs-VO </w:t>
      </w:r>
      <w:r w:rsidR="009174D1">
        <w:t>(</w:t>
      </w:r>
      <w:proofErr w:type="spellStart"/>
      <w:r w:rsidR="009174D1">
        <w:t>Principle</w:t>
      </w:r>
      <w:proofErr w:type="spellEnd"/>
      <w:r w:rsidR="009174D1">
        <w:t xml:space="preserve"> Adverse Impacts) </w:t>
      </w:r>
      <w:r>
        <w:t xml:space="preserve">sein, Stufe 2, soweit sie vollständig definiert ist, die ökologische Taxonomie. </w:t>
      </w:r>
    </w:p>
    <w:p w14:paraId="51CD2278" w14:textId="590246BA" w:rsidR="00B16263" w:rsidRDefault="00B16263" w:rsidP="00B16263">
      <w:pPr>
        <w:pStyle w:val="Listenabsatz"/>
        <w:numPr>
          <w:ilvl w:val="0"/>
          <w:numId w:val="6"/>
        </w:numPr>
      </w:pPr>
      <w:r>
        <w:t xml:space="preserve">Die Berichtspflicht der ökologischen Kerndaten analog den </w:t>
      </w:r>
      <w:proofErr w:type="spellStart"/>
      <w:r>
        <w:t>Principle</w:t>
      </w:r>
      <w:proofErr w:type="spellEnd"/>
      <w:r>
        <w:t xml:space="preserve"> Adverse Impacts der Offenlegungs-VO zuerst ein</w:t>
      </w:r>
      <w:r w:rsidR="00382755">
        <w:t>zu</w:t>
      </w:r>
      <w:r>
        <w:t>führen, damit die Kernberichtspflichten der Finanzindustrie erfüllt werden können</w:t>
      </w:r>
      <w:r w:rsidR="00501310">
        <w:t>,</w:t>
      </w:r>
      <w:r>
        <w:t xml:space="preserve"> </w:t>
      </w:r>
      <w:r w:rsidR="00501310">
        <w:t xml:space="preserve">um </w:t>
      </w:r>
      <w:r>
        <w:t xml:space="preserve">auch dem Kernanliegen der </w:t>
      </w:r>
      <w:r w:rsidR="00382755">
        <w:t>Klima</w:t>
      </w:r>
      <w:r>
        <w:t>neutralität Europa</w:t>
      </w:r>
      <w:r w:rsidR="00382755">
        <w:t>s</w:t>
      </w:r>
      <w:r>
        <w:t xml:space="preserve"> bis 2050 Rechnung </w:t>
      </w:r>
      <w:r w:rsidR="00501310">
        <w:t xml:space="preserve">zu </w:t>
      </w:r>
      <w:r>
        <w:t xml:space="preserve">tragen. </w:t>
      </w:r>
    </w:p>
    <w:p w14:paraId="45B030DC" w14:textId="7153C5BA" w:rsidR="00B16263" w:rsidRDefault="00B16263" w:rsidP="00B16263">
      <w:pPr>
        <w:pStyle w:val="Listenabsatz"/>
        <w:numPr>
          <w:ilvl w:val="0"/>
          <w:numId w:val="6"/>
        </w:numPr>
      </w:pPr>
      <w:commentRangeStart w:id="4"/>
      <w:commentRangeStart w:id="5"/>
      <w:r>
        <w:t>Die Berichtspflicht auf diese Unternehmen zu konzentrieren, die für die</w:t>
      </w:r>
      <w:r w:rsidR="003C20E5">
        <w:t xml:space="preserve"> </w:t>
      </w:r>
      <w:r w:rsidR="00382755">
        <w:t>Finanz- und Versicherungs</w:t>
      </w:r>
      <w:r>
        <w:t>industrie die oberste Priorität ha</w:t>
      </w:r>
      <w:r w:rsidR="00405F07">
        <w:t>ben</w:t>
      </w:r>
      <w:r>
        <w:t xml:space="preserve">: </w:t>
      </w:r>
      <w:commentRangeEnd w:id="4"/>
      <w:r w:rsidR="00115B9F">
        <w:rPr>
          <w:rStyle w:val="Kommentarzeichen"/>
        </w:rPr>
        <w:commentReference w:id="4"/>
      </w:r>
      <w:r>
        <w:t xml:space="preserve">An börsennotierte Unternehmen. Unternehmen mit mehr als 500 Mitarbeitern, die nicht börsennotiert sind, können in einem zweiten Schritt berücksichtigt werden. Für alle weiteren Unternehmen </w:t>
      </w:r>
      <w:r w:rsidR="00382755">
        <w:t>muss</w:t>
      </w:r>
      <w:r w:rsidR="003C20E5">
        <w:t xml:space="preserve"> </w:t>
      </w:r>
      <w:r>
        <w:t>die Berichtspflicht freiwillig</w:t>
      </w:r>
      <w:r w:rsidR="00382755">
        <w:t xml:space="preserve"> bleiben</w:t>
      </w:r>
      <w:r>
        <w:t xml:space="preserve">. </w:t>
      </w:r>
      <w:commentRangeEnd w:id="5"/>
      <w:r w:rsidR="001D5489">
        <w:rPr>
          <w:rStyle w:val="Kommentarzeichen"/>
        </w:rPr>
        <w:commentReference w:id="5"/>
      </w:r>
    </w:p>
    <w:p w14:paraId="134F3B8B" w14:textId="57E39558" w:rsidR="00B16263" w:rsidRDefault="00B16263" w:rsidP="00B16263">
      <w:pPr>
        <w:pStyle w:val="Listenabsatz"/>
        <w:numPr>
          <w:ilvl w:val="0"/>
          <w:numId w:val="6"/>
        </w:numPr>
      </w:pPr>
      <w:r>
        <w:t xml:space="preserve">Die Berichterstattung </w:t>
      </w:r>
      <w:r w:rsidR="0000749A">
        <w:t xml:space="preserve">sollte gemeinsam mit dem Lagebericht erfolgen, </w:t>
      </w:r>
      <w:r>
        <w:t xml:space="preserve">kann </w:t>
      </w:r>
      <w:r w:rsidR="0000749A">
        <w:t xml:space="preserve">aber </w:t>
      </w:r>
      <w:r>
        <w:t xml:space="preserve">auch außerhalb des </w:t>
      </w:r>
      <w:r w:rsidR="0000749A">
        <w:t>B</w:t>
      </w:r>
      <w:r>
        <w:t xml:space="preserve">erichts erfolgen, </w:t>
      </w:r>
      <w:r w:rsidR="0014302F">
        <w:t xml:space="preserve">muss </w:t>
      </w:r>
      <w:r>
        <w:t xml:space="preserve">aber maschinenlesbar sein. </w:t>
      </w:r>
      <w:r w:rsidR="00AB4249">
        <w:t>Die Veröffe</w:t>
      </w:r>
      <w:r w:rsidR="00BB32C2">
        <w:t>ntlichung sollte</w:t>
      </w:r>
      <w:r w:rsidR="00AB4249">
        <w:t xml:space="preserve"> im Geschäftsbericht verortet sein.</w:t>
      </w:r>
    </w:p>
    <w:p w14:paraId="6814DB94" w14:textId="6AD5DF8D" w:rsidR="00B16263" w:rsidRPr="00A95628" w:rsidRDefault="00BB32C2" w:rsidP="00BB32C2">
      <w:pPr>
        <w:pStyle w:val="Listenabsatz"/>
        <w:numPr>
          <w:ilvl w:val="0"/>
          <w:numId w:val="6"/>
        </w:numPr>
        <w:rPr>
          <w:rFonts w:cstheme="minorHAnsi"/>
        </w:rPr>
      </w:pPr>
      <w:r w:rsidRPr="00A95628">
        <w:rPr>
          <w:rFonts w:cstheme="minorHAnsi"/>
        </w:rPr>
        <w:lastRenderedPageBreak/>
        <w:t xml:space="preserve">Die </w:t>
      </w:r>
      <w:r w:rsidR="0014302F" w:rsidRPr="00A95628">
        <w:rPr>
          <w:rFonts w:cstheme="minorHAnsi"/>
        </w:rPr>
        <w:t xml:space="preserve">Bereitschaft </w:t>
      </w:r>
      <w:r w:rsidRPr="00A95628">
        <w:rPr>
          <w:rFonts w:cstheme="minorHAnsi"/>
        </w:rPr>
        <w:t xml:space="preserve">einer </w:t>
      </w:r>
      <w:r w:rsidRPr="00A95628">
        <w:rPr>
          <w:rFonts w:cstheme="minorHAnsi"/>
          <w:shd w:val="clear" w:color="auto" w:fill="FFFFFF"/>
        </w:rPr>
        <w:t xml:space="preserve">kollaborativen oder partnerschaftlichen Zusammenarbeit zwischen internationalen Gremien </w:t>
      </w:r>
      <w:r w:rsidR="0014302F" w:rsidRPr="00A95628">
        <w:rPr>
          <w:rFonts w:cstheme="minorHAnsi"/>
        </w:rPr>
        <w:t xml:space="preserve">zur Vereinfachung, damit eine </w:t>
      </w:r>
      <w:r w:rsidR="00B16263" w:rsidRPr="00A95628">
        <w:rPr>
          <w:rFonts w:cstheme="minorHAnsi"/>
        </w:rPr>
        <w:t>global einheitliche Standardsetzung</w:t>
      </w:r>
      <w:r w:rsidR="0014302F" w:rsidRPr="00A95628">
        <w:rPr>
          <w:rFonts w:cstheme="minorHAnsi"/>
        </w:rPr>
        <w:t xml:space="preserve"> erreicht werden kann, </w:t>
      </w:r>
      <w:r w:rsidR="00B16263" w:rsidRPr="00A95628">
        <w:rPr>
          <w:rFonts w:cstheme="minorHAnsi"/>
        </w:rPr>
        <w:t>mu</w:t>
      </w:r>
      <w:r w:rsidR="00382755" w:rsidRPr="00A95628">
        <w:rPr>
          <w:rFonts w:cstheme="minorHAnsi"/>
        </w:rPr>
        <w:t>ss</w:t>
      </w:r>
      <w:r w:rsidR="00B16263" w:rsidRPr="00A95628">
        <w:rPr>
          <w:rFonts w:cstheme="minorHAnsi"/>
        </w:rPr>
        <w:t xml:space="preserve"> </w:t>
      </w:r>
      <w:r w:rsidR="00382755" w:rsidRPr="00A95628">
        <w:rPr>
          <w:rFonts w:cstheme="minorHAnsi"/>
        </w:rPr>
        <w:t xml:space="preserve">auch weiterhin </w:t>
      </w:r>
      <w:r w:rsidR="00B16263" w:rsidRPr="00A95628">
        <w:rPr>
          <w:rFonts w:cstheme="minorHAnsi"/>
        </w:rPr>
        <w:t xml:space="preserve">das Ziel sein. </w:t>
      </w:r>
    </w:p>
    <w:p w14:paraId="2E69594C" w14:textId="77777777" w:rsidR="002F1192" w:rsidRPr="00771027" w:rsidRDefault="00C92474">
      <w:pPr>
        <w:rPr>
          <w:u w:val="single"/>
        </w:rPr>
      </w:pPr>
      <w:r w:rsidRPr="00771027">
        <w:rPr>
          <w:u w:val="single"/>
        </w:rPr>
        <w:t xml:space="preserve">Anhang I – </w:t>
      </w:r>
      <w:proofErr w:type="spellStart"/>
      <w:r w:rsidRPr="00771027">
        <w:rPr>
          <w:u w:val="single"/>
        </w:rPr>
        <w:t>Principle</w:t>
      </w:r>
      <w:proofErr w:type="spellEnd"/>
      <w:r w:rsidRPr="00771027">
        <w:rPr>
          <w:u w:val="single"/>
        </w:rPr>
        <w:t xml:space="preserve"> Adverse Impacts </w:t>
      </w:r>
      <w:r w:rsidR="00771027" w:rsidRPr="00771027">
        <w:rPr>
          <w:u w:val="single"/>
        </w:rPr>
        <w:t>(</w:t>
      </w:r>
      <w:r w:rsidRPr="00771027">
        <w:rPr>
          <w:u w:val="single"/>
        </w:rPr>
        <w:t xml:space="preserve">Zielgrößen nach der </w:t>
      </w:r>
      <w:proofErr w:type="spellStart"/>
      <w:r w:rsidRPr="00771027">
        <w:rPr>
          <w:u w:val="single"/>
        </w:rPr>
        <w:t>OffenlegungsVO</w:t>
      </w:r>
      <w:proofErr w:type="spellEnd"/>
      <w:r w:rsidR="00771027" w:rsidRPr="00771027">
        <w:rPr>
          <w:u w:val="single"/>
        </w:rPr>
        <w:t>)</w:t>
      </w:r>
    </w:p>
    <w:p w14:paraId="1A939779" w14:textId="77777777" w:rsidR="00217BA5" w:rsidRPr="00C92474" w:rsidRDefault="00614673" w:rsidP="00A95628">
      <w:pPr>
        <w:jc w:val="center"/>
      </w:pPr>
      <w:r>
        <w:rPr>
          <w:noProof/>
          <w:lang w:eastAsia="de-DE"/>
        </w:rPr>
        <w:drawing>
          <wp:inline distT="0" distB="0" distL="0" distR="0" wp14:anchorId="3511A055" wp14:editId="748F88E7">
            <wp:extent cx="5376806" cy="5976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20000" contrast="-40000"/>
                              </a14:imgEffect>
                            </a14:imgLayer>
                          </a14:imgProps>
                        </a:ext>
                      </a:extLst>
                    </a:blip>
                    <a:stretch>
                      <a:fillRect/>
                    </a:stretch>
                  </pic:blipFill>
                  <pic:spPr>
                    <a:xfrm>
                      <a:off x="0" y="0"/>
                      <a:ext cx="5376806" cy="5976000"/>
                    </a:xfrm>
                    <a:prstGeom prst="rect">
                      <a:avLst/>
                    </a:prstGeom>
                  </pic:spPr>
                </pic:pic>
              </a:graphicData>
            </a:graphic>
          </wp:inline>
        </w:drawing>
      </w:r>
    </w:p>
    <w:p w14:paraId="75B95F2D" w14:textId="77777777" w:rsidR="005E3ED2" w:rsidRPr="00A920A4" w:rsidRDefault="00771027">
      <w:pPr>
        <w:rPr>
          <w:u w:val="single"/>
          <w:lang w:val="en-US"/>
        </w:rPr>
      </w:pPr>
      <w:proofErr w:type="spellStart"/>
      <w:r w:rsidRPr="00A920A4">
        <w:rPr>
          <w:u w:val="single"/>
          <w:lang w:val="en-US"/>
        </w:rPr>
        <w:t>Anhang</w:t>
      </w:r>
      <w:proofErr w:type="spellEnd"/>
      <w:r w:rsidRPr="00A920A4">
        <w:rPr>
          <w:u w:val="single"/>
          <w:lang w:val="en-US"/>
        </w:rPr>
        <w:t xml:space="preserve"> II - </w:t>
      </w:r>
      <w:r w:rsidR="005E3ED2" w:rsidRPr="00A920A4">
        <w:rPr>
          <w:u w:val="single"/>
          <w:lang w:val="en-US"/>
        </w:rPr>
        <w:t xml:space="preserve">CSRD Proposal </w:t>
      </w:r>
      <w:r w:rsidR="00382755" w:rsidRPr="00A920A4">
        <w:rPr>
          <w:u w:val="single"/>
          <w:lang w:val="en-US"/>
        </w:rPr>
        <w:t>(</w:t>
      </w:r>
      <w:r w:rsidR="005E3ED2" w:rsidRPr="00A920A4">
        <w:rPr>
          <w:u w:val="single"/>
          <w:lang w:val="en-US"/>
        </w:rPr>
        <w:t>April 2021</w:t>
      </w:r>
      <w:r w:rsidR="00382755" w:rsidRPr="00A920A4">
        <w:rPr>
          <w:u w:val="single"/>
          <w:lang w:val="en-US"/>
        </w:rPr>
        <w:t>)</w:t>
      </w:r>
    </w:p>
    <w:p w14:paraId="63854A8A" w14:textId="77777777" w:rsidR="00382755" w:rsidRDefault="005E3ED2">
      <w:r>
        <w:t>Artikel 19c Standards für die Nachhaltigkeitsberichterstattung für KMU</w:t>
      </w:r>
      <w:r w:rsidR="00382755">
        <w:t>.</w:t>
      </w:r>
      <w:r>
        <w:t xml:space="preserve"> </w:t>
      </w:r>
    </w:p>
    <w:p w14:paraId="0B898074" w14:textId="77777777" w:rsidR="005E3ED2" w:rsidRPr="00C92474" w:rsidRDefault="005E3ED2">
      <w:r>
        <w:t>Die Kommission erlässt delegierte Rechtsakte nach Artikel 49, um Standards für die Nachhaltigkeitsberichterstattung vorzusehen, die den Kapazitäten und Merkmalen kleiner</w:t>
      </w:r>
      <w:r w:rsidR="00382755">
        <w:t>er</w:t>
      </w:r>
      <w:r>
        <w:t xml:space="preserve"> und mittlerer Unternehmen angemessen sind. In diesen Standards für die Nachhaltigkeitsberichterstattung ist spezifiziert, welche Informationen nach den Artikeln 19a und 29a kleine und mittlere Unternehmen im Sinne von Artikel 2 Nummer 1 Buchstabe a melden. Den in Artikel 19b Absätze 2 und 3 festgelegten Kriterien wird dabei Rechnung getragen. Darüber hinaus wird gegebenenfalls die Struktur spezifiziert, in der diese Informationen zu melden sind. Die Kommission nimmt diese delegierten Rechtsakte bis spätestens 31. Oktober 2023 an.</w:t>
      </w:r>
    </w:p>
    <w:sectPr w:rsidR="005E3ED2" w:rsidRPr="00C92474">
      <w:headerReference w:type="default" r:id="rId14"/>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üchardt, Benedikt" w:date="2021-11-17T12:48:00Z" w:initials="RB">
    <w:p w14:paraId="35BEB0C7" w14:textId="5BAA7335" w:rsidR="001934F8" w:rsidRDefault="001934F8">
      <w:pPr>
        <w:pStyle w:val="Kommentartext"/>
      </w:pPr>
      <w:r>
        <w:rPr>
          <w:rStyle w:val="Kommentarzeichen"/>
        </w:rPr>
        <w:annotationRef/>
      </w:r>
      <w:r>
        <w:t>Das sollten wir noch deutlich praxisnäher ausarbeiten</w:t>
      </w:r>
    </w:p>
  </w:comment>
  <w:comment w:id="2" w:author="Rüchardt, Benedikt" w:date="2021-11-17T12:50:00Z" w:initials="RB">
    <w:p w14:paraId="0BB9CD81" w14:textId="735EB324" w:rsidR="001934F8" w:rsidRDefault="001934F8">
      <w:pPr>
        <w:pStyle w:val="Kommentartext"/>
      </w:pPr>
      <w:r>
        <w:rPr>
          <w:rStyle w:val="Kommentarzeichen"/>
        </w:rPr>
        <w:annotationRef/>
      </w:r>
      <w:r>
        <w:t xml:space="preserve">Da liegt sie doch eh, und die Transformationsanstrengungen sind bereits evident. </w:t>
      </w:r>
      <w:r w:rsidR="007038FD">
        <w:t xml:space="preserve">Die in der UK-Haltung durchscheinende Auffassung, es läge am Finanzmarkt, die Transformation zu erzwingen, halten wir für falsch und auch mit der bisherigen </w:t>
      </w:r>
      <w:proofErr w:type="spellStart"/>
      <w:r w:rsidR="007038FD">
        <w:t>fpmi</w:t>
      </w:r>
      <w:proofErr w:type="spellEnd"/>
      <w:r w:rsidR="007038FD">
        <w:t xml:space="preserve">-Position nicht vereinbar. </w:t>
      </w:r>
      <w:r>
        <w:t xml:space="preserve">Im Kontext </w:t>
      </w:r>
      <w:proofErr w:type="spellStart"/>
      <w:r>
        <w:t>Sustainable</w:t>
      </w:r>
      <w:proofErr w:type="spellEnd"/>
      <w:r>
        <w:t xml:space="preserve"> Finance geht es aus unserer Sicht darum, notwendige </w:t>
      </w:r>
      <w:r w:rsidR="007038FD">
        <w:t>Transformations-F</w:t>
      </w:r>
      <w:r>
        <w:t>inanzierungen auch darstellen</w:t>
      </w:r>
      <w:r w:rsidR="007038FD">
        <w:t xml:space="preserve"> zu können, vor allem aber darum, </w:t>
      </w:r>
      <w:r>
        <w:t>Anlegerinteressen nachvollziehbar zu bedienen.</w:t>
      </w:r>
      <w:r w:rsidR="007038FD">
        <w:t xml:space="preserve"> Insofern hoffen wir und setzen darauf, dass anlegerseitig ein wesentlicher Fokus </w:t>
      </w:r>
      <w:proofErr w:type="gramStart"/>
      <w:r w:rsidR="007038FD">
        <w:t>darauf gelegt</w:t>
      </w:r>
      <w:proofErr w:type="gramEnd"/>
      <w:r w:rsidR="007038FD">
        <w:t xml:space="preserve"> wird. Den Kapitalnehmern den Umgang mit regulatorischen Auflagen und Datenanforderungen so leicht wie möglich zu machen.</w:t>
      </w:r>
    </w:p>
  </w:comment>
  <w:comment w:id="3" w:author="Rüchardt, Benedikt" w:date="2021-11-17T12:53:00Z" w:initials="RB">
    <w:p w14:paraId="3D561BCF" w14:textId="01D6D967" w:rsidR="001934F8" w:rsidRDefault="001934F8">
      <w:pPr>
        <w:pStyle w:val="Kommentartext"/>
      </w:pPr>
      <w:r>
        <w:rPr>
          <w:rStyle w:val="Kommentarzeichen"/>
        </w:rPr>
        <w:annotationRef/>
      </w:r>
      <w:r>
        <w:t xml:space="preserve">Bitte keine Sozialromantik – die ich vor allem aus den Aussagen zur Regionalität und zu Energieimporten </w:t>
      </w:r>
      <w:r w:rsidR="00793A12">
        <w:t xml:space="preserve">herauslese </w:t>
      </w:r>
      <w:r>
        <w:t xml:space="preserve">(woher kommt den der grüne Wasserstoff?) </w:t>
      </w:r>
    </w:p>
  </w:comment>
  <w:comment w:id="4" w:author="Rüchardt, Benedikt" w:date="2021-11-17T12:58:00Z" w:initials="RB">
    <w:p w14:paraId="5FFE4810" w14:textId="7BE3AADF" w:rsidR="00115B9F" w:rsidRDefault="00115B9F">
      <w:pPr>
        <w:pStyle w:val="Kommentartext"/>
      </w:pPr>
      <w:r>
        <w:rPr>
          <w:rStyle w:val="Kommentarzeichen"/>
        </w:rPr>
        <w:annotationRef/>
      </w:r>
      <w:r>
        <w:t>Was bedeutet das für das Finanzierungsgeschehen?</w:t>
      </w:r>
    </w:p>
  </w:comment>
  <w:comment w:id="5" w:author="Naumann, Isabel (Allianz SE)" w:date="2021-11-26T09:40:00Z" w:initials="NI(S">
    <w:p w14:paraId="6B76492D" w14:textId="77777777" w:rsidR="001D5489" w:rsidRDefault="001D5489" w:rsidP="001D5489">
      <w:pPr>
        <w:pStyle w:val="Listenabsatz"/>
        <w:spacing w:line="252" w:lineRule="auto"/>
        <w:ind w:left="0"/>
        <w:rPr>
          <w:rFonts w:eastAsia="Times New Roman"/>
        </w:rPr>
      </w:pPr>
      <w:r>
        <w:rPr>
          <w:rStyle w:val="Kommentarzeichen"/>
        </w:rPr>
        <w:annotationRef/>
      </w:r>
      <w:r>
        <w:rPr>
          <w:rFonts w:eastAsia="Times New Roman"/>
        </w:rPr>
        <w:t xml:space="preserve">Die </w:t>
      </w:r>
      <w:proofErr w:type="spellStart"/>
      <w:r>
        <w:rPr>
          <w:rFonts w:eastAsia="Times New Roman"/>
        </w:rPr>
        <w:t>Scope</w:t>
      </w:r>
      <w:proofErr w:type="spellEnd"/>
      <w:r>
        <w:rPr>
          <w:rFonts w:eastAsia="Times New Roman"/>
        </w:rPr>
        <w:t xml:space="preserve">-Erweiterung von NFRD auf CSRD, inkl. der vorgeschlagenen Reduktion des Schwellenwerts von 500 auf 250 Mitarbeiter, ist ein wesentlicher Faktor um die Datenverfügbarkeit und -vergleichbarkeit auf EU Ebene zu erhöhen. </w:t>
      </w:r>
      <w:r>
        <w:rPr>
          <w:rFonts w:eastAsia="Times New Roman"/>
        </w:rPr>
        <w:br/>
        <w:t xml:space="preserve">&gt;&gt; Wir unterstützen die </w:t>
      </w:r>
      <w:proofErr w:type="spellStart"/>
      <w:r>
        <w:rPr>
          <w:rFonts w:eastAsia="Times New Roman"/>
        </w:rPr>
        <w:t>Scope</w:t>
      </w:r>
      <w:proofErr w:type="spellEnd"/>
      <w:r>
        <w:rPr>
          <w:rFonts w:eastAsia="Times New Roman"/>
        </w:rPr>
        <w:t xml:space="preserve">-Erweiterung und halten die </w:t>
      </w:r>
      <w:proofErr w:type="spellStart"/>
      <w:r>
        <w:rPr>
          <w:rFonts w:eastAsia="Times New Roman"/>
        </w:rPr>
        <w:t>fpmi</w:t>
      </w:r>
      <w:proofErr w:type="spellEnd"/>
      <w:r>
        <w:rPr>
          <w:rFonts w:eastAsia="Times New Roman"/>
        </w:rPr>
        <w:t>-Forderung m</w:t>
      </w:r>
      <w:bookmarkStart w:id="6" w:name="_GoBack"/>
      <w:bookmarkEnd w:id="6"/>
      <w:r>
        <w:rPr>
          <w:rFonts w:eastAsia="Times New Roman"/>
        </w:rPr>
        <w:t>it Blick auf die 500-Mitarbeiter Schwelle als wenig erfolgsversprechend.</w:t>
      </w:r>
    </w:p>
    <w:p w14:paraId="6A388CBA" w14:textId="167BA2F9" w:rsidR="001D5489" w:rsidRDefault="001D5489">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BEB0C7" w15:done="0"/>
  <w15:commentEx w15:paraId="0BB9CD81" w15:done="0"/>
  <w15:commentEx w15:paraId="3D561BCF" w15:done="0"/>
  <w15:commentEx w15:paraId="5FFE4810" w15:done="0"/>
  <w15:commentEx w15:paraId="6A388C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7244" w16cex:dateUtc="2021-11-17T11:21:00Z"/>
  <w16cex:commentExtensible w16cex:durableId="253F7262" w16cex:dateUtc="2021-11-17T11:21:00Z"/>
  <w16cex:commentExtensible w16cex:durableId="253F7A5F" w16cex:dateUtc="2021-11-17T11:55:00Z"/>
  <w16cex:commentExtensible w16cex:durableId="253F78AE" w16cex:dateUtc="2021-11-17T11:48:00Z"/>
  <w16cex:commentExtensible w16cex:durableId="253F7904" w16cex:dateUtc="2021-11-17T11:50:00Z"/>
  <w16cex:commentExtensible w16cex:durableId="253F79C2" w16cex:dateUtc="2021-11-17T11:53:00Z"/>
  <w16cex:commentExtensible w16cex:durableId="253F7D4E" w16cex:dateUtc="2021-11-17T12:08:00Z"/>
  <w16cex:commentExtensible w16cex:durableId="253F7AEB" w16cex:dateUtc="2021-11-17T11:58:00Z"/>
  <w16cex:commentExtensible w16cex:durableId="253F7AAC" w16cex:dateUtc="2021-11-17T11:57:00Z"/>
  <w16cex:commentExtensible w16cex:durableId="253F7ABA" w16cex:dateUtc="2021-11-17T11:57:00Z"/>
  <w16cex:commentExtensible w16cex:durableId="253F7ACD" w16cex:dateUtc="2021-11-17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EB0C7" w16cid:durableId="253F78AE"/>
  <w16cid:commentId w16cid:paraId="0BB9CD81" w16cid:durableId="253F7904"/>
  <w16cid:commentId w16cid:paraId="3D561BCF" w16cid:durableId="253F79C2"/>
  <w16cid:commentId w16cid:paraId="5FFE4810" w16cid:durableId="253F7AEB"/>
  <w16cid:commentId w16cid:paraId="6A388CBA" w16cid:durableId="254B2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D0DB3" w14:textId="77777777" w:rsidR="002E76BC" w:rsidRDefault="002E76BC" w:rsidP="00456493">
      <w:pPr>
        <w:spacing w:after="0" w:line="240" w:lineRule="auto"/>
      </w:pPr>
      <w:r>
        <w:separator/>
      </w:r>
    </w:p>
  </w:endnote>
  <w:endnote w:type="continuationSeparator" w:id="0">
    <w:p w14:paraId="1B44AB63" w14:textId="77777777" w:rsidR="002E76BC" w:rsidRDefault="002E76BC" w:rsidP="0045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A816" w14:textId="77777777" w:rsidR="002E76BC" w:rsidRDefault="002E76BC" w:rsidP="00456493">
      <w:pPr>
        <w:spacing w:after="0" w:line="240" w:lineRule="auto"/>
      </w:pPr>
      <w:r>
        <w:separator/>
      </w:r>
    </w:p>
  </w:footnote>
  <w:footnote w:type="continuationSeparator" w:id="0">
    <w:p w14:paraId="250B6A15" w14:textId="77777777" w:rsidR="002E76BC" w:rsidRDefault="002E76BC" w:rsidP="0045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04552"/>
      <w:docPartObj>
        <w:docPartGallery w:val="Page Numbers (Top of Page)"/>
        <w:docPartUnique/>
      </w:docPartObj>
    </w:sdtPr>
    <w:sdtEndPr/>
    <w:sdtContent>
      <w:p w14:paraId="4EED782D" w14:textId="77777777" w:rsidR="00B52DFE" w:rsidRDefault="00B52DFE">
        <w:pPr>
          <w:pStyle w:val="Kopfzeile"/>
          <w:jc w:val="center"/>
        </w:pPr>
        <w:r>
          <w:fldChar w:fldCharType="begin"/>
        </w:r>
        <w:r>
          <w:instrText>PAGE   \* MERGEFORMAT</w:instrText>
        </w:r>
        <w:r>
          <w:fldChar w:fldCharType="separate"/>
        </w:r>
        <w:r w:rsidR="00405F07">
          <w:rPr>
            <w:noProof/>
          </w:rPr>
          <w:t>2</w:t>
        </w:r>
        <w:r>
          <w:fldChar w:fldCharType="end"/>
        </w:r>
      </w:p>
    </w:sdtContent>
  </w:sdt>
  <w:p w14:paraId="07282ACC" w14:textId="77777777" w:rsidR="00B52DFE" w:rsidRDefault="00B52D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8E4"/>
    <w:multiLevelType w:val="hybridMultilevel"/>
    <w:tmpl w:val="C9E4BDE0"/>
    <w:lvl w:ilvl="0" w:tplc="B8FABD2C">
      <w:start w:val="2"/>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316613"/>
    <w:multiLevelType w:val="hybridMultilevel"/>
    <w:tmpl w:val="D3D2B2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1F2FDD"/>
    <w:multiLevelType w:val="hybridMultilevel"/>
    <w:tmpl w:val="D9482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E50556"/>
    <w:multiLevelType w:val="hybridMultilevel"/>
    <w:tmpl w:val="AB1AA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147C43"/>
    <w:multiLevelType w:val="hybridMultilevel"/>
    <w:tmpl w:val="13A29DCC"/>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BF2905"/>
    <w:multiLevelType w:val="hybridMultilevel"/>
    <w:tmpl w:val="9C9C7B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94B0617"/>
    <w:multiLevelType w:val="hybridMultilevel"/>
    <w:tmpl w:val="7A9E99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B07CBB"/>
    <w:multiLevelType w:val="multilevel"/>
    <w:tmpl w:val="D10E922E"/>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307592"/>
    <w:multiLevelType w:val="hybridMultilevel"/>
    <w:tmpl w:val="1FA08B8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4D603478"/>
    <w:multiLevelType w:val="hybridMultilevel"/>
    <w:tmpl w:val="39EA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20747D"/>
    <w:multiLevelType w:val="multilevel"/>
    <w:tmpl w:val="4CDC2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BE55D7"/>
    <w:multiLevelType w:val="hybridMultilevel"/>
    <w:tmpl w:val="D15079E8"/>
    <w:lvl w:ilvl="0" w:tplc="F54C14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6853BB"/>
    <w:multiLevelType w:val="hybridMultilevel"/>
    <w:tmpl w:val="CC78C52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0"/>
  </w:num>
  <w:num w:numId="4">
    <w:abstractNumId w:val="1"/>
  </w:num>
  <w:num w:numId="5">
    <w:abstractNumId w:val="4"/>
  </w:num>
  <w:num w:numId="6">
    <w:abstractNumId w:val="6"/>
  </w:num>
  <w:num w:numId="7">
    <w:abstractNumId w:val="0"/>
  </w:num>
  <w:num w:numId="8">
    <w:abstractNumId w:val="2"/>
  </w:num>
  <w:num w:numId="9">
    <w:abstractNumId w:val="5"/>
  </w:num>
  <w:num w:numId="10">
    <w:abstractNumId w:val="3"/>
  </w:num>
  <w:num w:numId="11">
    <w:abstractNumId w:val="12"/>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üchardt, Benedikt">
    <w15:presenceInfo w15:providerId="AD" w15:userId="S::Benedikt.Ruechardt@vbw-bayern.de::f0451b59-664c-4d87-be0f-31330cf6ea3f"/>
  </w15:person>
  <w15:person w15:author="Naumann, Isabel (Allianz SE)">
    <w15:presenceInfo w15:providerId="AD" w15:userId="S-1-5-21-2006190760-3459553193-1651965558-4908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B6"/>
    <w:rsid w:val="0000749A"/>
    <w:rsid w:val="000407E9"/>
    <w:rsid w:val="00044735"/>
    <w:rsid w:val="000A07B2"/>
    <w:rsid w:val="000B3A63"/>
    <w:rsid w:val="000D0F84"/>
    <w:rsid w:val="00103341"/>
    <w:rsid w:val="00115B9F"/>
    <w:rsid w:val="001346B0"/>
    <w:rsid w:val="0014302F"/>
    <w:rsid w:val="00185D11"/>
    <w:rsid w:val="001934F8"/>
    <w:rsid w:val="001D5489"/>
    <w:rsid w:val="001D7172"/>
    <w:rsid w:val="00217BA5"/>
    <w:rsid w:val="002210CA"/>
    <w:rsid w:val="00223B76"/>
    <w:rsid w:val="00242D46"/>
    <w:rsid w:val="00261854"/>
    <w:rsid w:val="0027794E"/>
    <w:rsid w:val="0028691D"/>
    <w:rsid w:val="002E76BC"/>
    <w:rsid w:val="002F1192"/>
    <w:rsid w:val="003125BF"/>
    <w:rsid w:val="00382755"/>
    <w:rsid w:val="003C20E5"/>
    <w:rsid w:val="003E5C2B"/>
    <w:rsid w:val="00405F07"/>
    <w:rsid w:val="00412B20"/>
    <w:rsid w:val="00422DC5"/>
    <w:rsid w:val="004263B8"/>
    <w:rsid w:val="00456493"/>
    <w:rsid w:val="0047453F"/>
    <w:rsid w:val="0048516D"/>
    <w:rsid w:val="004904FA"/>
    <w:rsid w:val="00494109"/>
    <w:rsid w:val="004B2EF5"/>
    <w:rsid w:val="004E2FEB"/>
    <w:rsid w:val="00501310"/>
    <w:rsid w:val="00535439"/>
    <w:rsid w:val="005433F9"/>
    <w:rsid w:val="00565050"/>
    <w:rsid w:val="00573282"/>
    <w:rsid w:val="005845B8"/>
    <w:rsid w:val="00592BCC"/>
    <w:rsid w:val="005D773A"/>
    <w:rsid w:val="005E3ED2"/>
    <w:rsid w:val="005F2FF6"/>
    <w:rsid w:val="005F5893"/>
    <w:rsid w:val="00614673"/>
    <w:rsid w:val="00622F5B"/>
    <w:rsid w:val="00630835"/>
    <w:rsid w:val="00652B2B"/>
    <w:rsid w:val="006577FD"/>
    <w:rsid w:val="0068654E"/>
    <w:rsid w:val="006B5A38"/>
    <w:rsid w:val="006C5564"/>
    <w:rsid w:val="006E1958"/>
    <w:rsid w:val="007038FD"/>
    <w:rsid w:val="0070448D"/>
    <w:rsid w:val="00721A2B"/>
    <w:rsid w:val="00771027"/>
    <w:rsid w:val="007846A7"/>
    <w:rsid w:val="00793A12"/>
    <w:rsid w:val="00794D66"/>
    <w:rsid w:val="007D4915"/>
    <w:rsid w:val="007D67A3"/>
    <w:rsid w:val="00835115"/>
    <w:rsid w:val="00860FBD"/>
    <w:rsid w:val="00863078"/>
    <w:rsid w:val="00865EF3"/>
    <w:rsid w:val="00882C6E"/>
    <w:rsid w:val="00885FEE"/>
    <w:rsid w:val="008A5895"/>
    <w:rsid w:val="008C29BB"/>
    <w:rsid w:val="008D250D"/>
    <w:rsid w:val="008F4100"/>
    <w:rsid w:val="009174D1"/>
    <w:rsid w:val="0096389C"/>
    <w:rsid w:val="00983B55"/>
    <w:rsid w:val="009A7D41"/>
    <w:rsid w:val="009D22B4"/>
    <w:rsid w:val="009E34C7"/>
    <w:rsid w:val="00A33B61"/>
    <w:rsid w:val="00A44E17"/>
    <w:rsid w:val="00A920A4"/>
    <w:rsid w:val="00A95628"/>
    <w:rsid w:val="00A962BF"/>
    <w:rsid w:val="00AA38DF"/>
    <w:rsid w:val="00AB4249"/>
    <w:rsid w:val="00AB55FB"/>
    <w:rsid w:val="00AD675E"/>
    <w:rsid w:val="00AF5FDA"/>
    <w:rsid w:val="00B02F56"/>
    <w:rsid w:val="00B16263"/>
    <w:rsid w:val="00B52DFE"/>
    <w:rsid w:val="00B7473B"/>
    <w:rsid w:val="00B85E4F"/>
    <w:rsid w:val="00B931A6"/>
    <w:rsid w:val="00BB32C2"/>
    <w:rsid w:val="00BE76BD"/>
    <w:rsid w:val="00C44A27"/>
    <w:rsid w:val="00C65351"/>
    <w:rsid w:val="00C672DE"/>
    <w:rsid w:val="00C74CB5"/>
    <w:rsid w:val="00C92474"/>
    <w:rsid w:val="00C93787"/>
    <w:rsid w:val="00CA1190"/>
    <w:rsid w:val="00D26075"/>
    <w:rsid w:val="00D3758B"/>
    <w:rsid w:val="00E86A5C"/>
    <w:rsid w:val="00E919B6"/>
    <w:rsid w:val="00E93A5F"/>
    <w:rsid w:val="00E94FCB"/>
    <w:rsid w:val="00EB2545"/>
    <w:rsid w:val="00F02A7B"/>
    <w:rsid w:val="00F3148A"/>
    <w:rsid w:val="00F42E94"/>
    <w:rsid w:val="00F83CBB"/>
    <w:rsid w:val="00FD120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4A6351"/>
  <w15:docId w15:val="{ED5D41D7-9EFB-4B9F-8C7D-74E6DCC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931A6"/>
    <w:pPr>
      <w:keepNext/>
      <w:keepLines/>
      <w:numPr>
        <w:numId w:val="2"/>
      </w:numPr>
      <w:spacing w:before="240" w:after="0"/>
      <w:ind w:hanging="36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12B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1A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31A6"/>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564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493"/>
  </w:style>
  <w:style w:type="paragraph" w:styleId="Fuzeile">
    <w:name w:val="footer"/>
    <w:basedOn w:val="Standard"/>
    <w:link w:val="FuzeileZchn"/>
    <w:uiPriority w:val="99"/>
    <w:unhideWhenUsed/>
    <w:rsid w:val="004564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493"/>
  </w:style>
  <w:style w:type="paragraph" w:styleId="Listenabsatz">
    <w:name w:val="List Paragraph"/>
    <w:basedOn w:val="Standard"/>
    <w:uiPriority w:val="34"/>
    <w:qFormat/>
    <w:rsid w:val="00B52DFE"/>
    <w:pPr>
      <w:ind w:left="720"/>
      <w:contextualSpacing/>
    </w:pPr>
  </w:style>
  <w:style w:type="paragraph" w:styleId="Sprechblasentext">
    <w:name w:val="Balloon Text"/>
    <w:basedOn w:val="Standard"/>
    <w:link w:val="SprechblasentextZchn"/>
    <w:uiPriority w:val="99"/>
    <w:semiHidden/>
    <w:unhideWhenUsed/>
    <w:rsid w:val="004B2E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EF5"/>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721A2B"/>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721A2B"/>
    <w:rPr>
      <w:color w:val="0000FF"/>
      <w:u w:val="single"/>
    </w:rPr>
  </w:style>
  <w:style w:type="character" w:customStyle="1" w:styleId="NichtaufgelsteErwhnung1">
    <w:name w:val="Nicht aufgelöste Erwähnung1"/>
    <w:basedOn w:val="Absatz-Standardschriftart"/>
    <w:uiPriority w:val="99"/>
    <w:semiHidden/>
    <w:unhideWhenUsed/>
    <w:rsid w:val="003C20E5"/>
    <w:rPr>
      <w:color w:val="605E5C"/>
      <w:shd w:val="clear" w:color="auto" w:fill="E1DFDD"/>
    </w:rPr>
  </w:style>
  <w:style w:type="character" w:styleId="Kommentarzeichen">
    <w:name w:val="annotation reference"/>
    <w:basedOn w:val="Absatz-Standardschriftart"/>
    <w:uiPriority w:val="99"/>
    <w:semiHidden/>
    <w:unhideWhenUsed/>
    <w:rsid w:val="00C74CB5"/>
    <w:rPr>
      <w:sz w:val="16"/>
      <w:szCs w:val="16"/>
    </w:rPr>
  </w:style>
  <w:style w:type="paragraph" w:styleId="Kommentartext">
    <w:name w:val="annotation text"/>
    <w:basedOn w:val="Standard"/>
    <w:link w:val="KommentartextZchn"/>
    <w:uiPriority w:val="99"/>
    <w:semiHidden/>
    <w:unhideWhenUsed/>
    <w:rsid w:val="00C74C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4CB5"/>
    <w:rPr>
      <w:sz w:val="20"/>
      <w:szCs w:val="20"/>
    </w:rPr>
  </w:style>
  <w:style w:type="paragraph" w:styleId="Kommentarthema">
    <w:name w:val="annotation subject"/>
    <w:basedOn w:val="Kommentartext"/>
    <w:next w:val="Kommentartext"/>
    <w:link w:val="KommentarthemaZchn"/>
    <w:uiPriority w:val="99"/>
    <w:semiHidden/>
    <w:unhideWhenUsed/>
    <w:rsid w:val="00C74CB5"/>
    <w:rPr>
      <w:b/>
      <w:bCs/>
    </w:rPr>
  </w:style>
  <w:style w:type="character" w:customStyle="1" w:styleId="KommentarthemaZchn">
    <w:name w:val="Kommentarthema Zchn"/>
    <w:basedOn w:val="KommentartextZchn"/>
    <w:link w:val="Kommentarthema"/>
    <w:uiPriority w:val="99"/>
    <w:semiHidden/>
    <w:rsid w:val="00C74CB5"/>
    <w:rPr>
      <w:b/>
      <w:bCs/>
      <w:sz w:val="20"/>
      <w:szCs w:val="20"/>
    </w:rPr>
  </w:style>
  <w:style w:type="character" w:customStyle="1" w:styleId="berschrift2Zchn">
    <w:name w:val="Überschrift 2 Zchn"/>
    <w:basedOn w:val="Absatz-Standardschriftart"/>
    <w:link w:val="berschrift2"/>
    <w:uiPriority w:val="9"/>
    <w:rsid w:val="00412B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1709">
      <w:bodyDiv w:val="1"/>
      <w:marLeft w:val="0"/>
      <w:marRight w:val="0"/>
      <w:marTop w:val="0"/>
      <w:marBottom w:val="0"/>
      <w:divBdr>
        <w:top w:val="none" w:sz="0" w:space="0" w:color="auto"/>
        <w:left w:val="none" w:sz="0" w:space="0" w:color="auto"/>
        <w:bottom w:val="none" w:sz="0" w:space="0" w:color="auto"/>
        <w:right w:val="none" w:sz="0" w:space="0" w:color="auto"/>
      </w:divBdr>
    </w:div>
    <w:div w:id="112484388">
      <w:bodyDiv w:val="1"/>
      <w:marLeft w:val="0"/>
      <w:marRight w:val="0"/>
      <w:marTop w:val="0"/>
      <w:marBottom w:val="0"/>
      <w:divBdr>
        <w:top w:val="none" w:sz="0" w:space="0" w:color="auto"/>
        <w:left w:val="none" w:sz="0" w:space="0" w:color="auto"/>
        <w:bottom w:val="none" w:sz="0" w:space="0" w:color="auto"/>
        <w:right w:val="none" w:sz="0" w:space="0" w:color="auto"/>
      </w:divBdr>
    </w:div>
    <w:div w:id="132797486">
      <w:bodyDiv w:val="1"/>
      <w:marLeft w:val="0"/>
      <w:marRight w:val="0"/>
      <w:marTop w:val="0"/>
      <w:marBottom w:val="0"/>
      <w:divBdr>
        <w:top w:val="none" w:sz="0" w:space="0" w:color="auto"/>
        <w:left w:val="none" w:sz="0" w:space="0" w:color="auto"/>
        <w:bottom w:val="none" w:sz="0" w:space="0" w:color="auto"/>
        <w:right w:val="none" w:sz="0" w:space="0" w:color="auto"/>
      </w:divBdr>
    </w:div>
    <w:div w:id="1090855085">
      <w:bodyDiv w:val="1"/>
      <w:marLeft w:val="0"/>
      <w:marRight w:val="0"/>
      <w:marTop w:val="0"/>
      <w:marBottom w:val="0"/>
      <w:divBdr>
        <w:top w:val="none" w:sz="0" w:space="0" w:color="auto"/>
        <w:left w:val="none" w:sz="0" w:space="0" w:color="auto"/>
        <w:bottom w:val="none" w:sz="0" w:space="0" w:color="auto"/>
        <w:right w:val="none" w:sz="0" w:space="0" w:color="auto"/>
      </w:divBdr>
    </w:div>
    <w:div w:id="1912740186">
      <w:bodyDiv w:val="1"/>
      <w:marLeft w:val="0"/>
      <w:marRight w:val="0"/>
      <w:marTop w:val="0"/>
      <w:marBottom w:val="0"/>
      <w:divBdr>
        <w:top w:val="none" w:sz="0" w:space="0" w:color="auto"/>
        <w:left w:val="none" w:sz="0" w:space="0" w:color="auto"/>
        <w:bottom w:val="none" w:sz="0" w:space="0" w:color="auto"/>
        <w:right w:val="none" w:sz="0" w:space="0" w:color="auto"/>
      </w:divBdr>
    </w:div>
    <w:div w:id="20368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mi.de" TargetMode="External"/><Relationship Id="rId13" Type="http://schemas.microsoft.com/office/2007/relationships/hdphoto" Target="media/hdphoto1.wdp"/><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BE14-0439-4BCE-83F0-F850AA20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10044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Amundi Asset Management</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Steinert Andreas (AMUNDI.DEU)</dc:creator>
  <cp:lastModifiedBy>Faulstroh, Nikolaus</cp:lastModifiedBy>
  <cp:revision>15</cp:revision>
  <cp:lastPrinted>2021-11-12T09:17:00Z</cp:lastPrinted>
  <dcterms:created xsi:type="dcterms:W3CDTF">2021-11-26T08:38:00Z</dcterms:created>
  <dcterms:modified xsi:type="dcterms:W3CDTF">2021-11-29T09:10:00Z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dace53-bb26-49c1-b263-21baa9bbd689_Enabled">
    <vt:lpwstr>true</vt:lpwstr>
  </property>
  <property fmtid="{D5CDD505-2E9C-101B-9397-08002B2CF9AE}" pid="3" name="MSIP_Label_c6dace53-bb26-49c1-b263-21baa9bbd689_SetDate">
    <vt:lpwstr>2021-11-15T12:45:19Z</vt:lpwstr>
  </property>
  <property fmtid="{D5CDD505-2E9C-101B-9397-08002B2CF9AE}" pid="4" name="MSIP_Label_c6dace53-bb26-49c1-b263-21baa9bbd689_Method">
    <vt:lpwstr>Privileged</vt:lpwstr>
  </property>
  <property fmtid="{D5CDD505-2E9C-101B-9397-08002B2CF9AE}" pid="5" name="MSIP_Label_c6dace53-bb26-49c1-b263-21baa9bbd689_Name">
    <vt:lpwstr>c6dace53-bb26-49c1-b263-21baa9bbd689</vt:lpwstr>
  </property>
  <property fmtid="{D5CDD505-2E9C-101B-9397-08002B2CF9AE}" pid="6" name="MSIP_Label_c6dace53-bb26-49c1-b263-21baa9bbd689_SiteId">
    <vt:lpwstr>582259a1-dcaa-4cca-b1cf-e60d3f045ecd</vt:lpwstr>
  </property>
  <property fmtid="{D5CDD505-2E9C-101B-9397-08002B2CF9AE}" pid="7" name="MSIP_Label_c6dace53-bb26-49c1-b263-21baa9bbd689_ActionId">
    <vt:lpwstr>ae836d44-1f0d-4729-b98b-a3454f900829</vt:lpwstr>
  </property>
  <property fmtid="{D5CDD505-2E9C-101B-9397-08002B2CF9AE}" pid="8" name="MSIP_Label_c6dace53-bb26-49c1-b263-21baa9bbd689_ContentBits">
    <vt:lpwstr>0</vt:lpwstr>
  </property>
  <property fmtid="{D5CDD505-2E9C-101B-9397-08002B2CF9AE}" pid="9" name="MSIP_Label_ce5f591a-3248-43e9-9b70-1ad50135772d_Enabled">
    <vt:lpwstr>true</vt:lpwstr>
  </property>
  <property fmtid="{D5CDD505-2E9C-101B-9397-08002B2CF9AE}" pid="10" name="MSIP_Label_ce5f591a-3248-43e9-9b70-1ad50135772d_SetDate">
    <vt:lpwstr>2021-11-26T08:37:51Z</vt:lpwstr>
  </property>
  <property fmtid="{D5CDD505-2E9C-101B-9397-08002B2CF9AE}" pid="11" name="MSIP_Label_ce5f591a-3248-43e9-9b70-1ad50135772d_Method">
    <vt:lpwstr>Privileged</vt:lpwstr>
  </property>
  <property fmtid="{D5CDD505-2E9C-101B-9397-08002B2CF9AE}" pid="12" name="MSIP_Label_ce5f591a-3248-43e9-9b70-1ad50135772d_Name">
    <vt:lpwstr>ce5f591a-3248-43e9-9b70-1ad50135772d</vt:lpwstr>
  </property>
  <property fmtid="{D5CDD505-2E9C-101B-9397-08002B2CF9AE}" pid="13" name="MSIP_Label_ce5f591a-3248-43e9-9b70-1ad50135772d_SiteId">
    <vt:lpwstr>6e06e42d-6925-47c6-b9e7-9581c7ca302a</vt:lpwstr>
  </property>
  <property fmtid="{D5CDD505-2E9C-101B-9397-08002B2CF9AE}" pid="14" name="MSIP_Label_ce5f591a-3248-43e9-9b70-1ad50135772d_ActionId">
    <vt:lpwstr>91e18df1-f0a6-403b-a5ec-75a251370e91</vt:lpwstr>
  </property>
  <property fmtid="{D5CDD505-2E9C-101B-9397-08002B2CF9AE}" pid="15" name="MSIP_Label_ce5f591a-3248-43e9-9b70-1ad50135772d_ContentBits">
    <vt:lpwstr>0</vt:lpwstr>
  </property>
  <property fmtid="{D5CDD505-2E9C-101B-9397-08002B2CF9AE}" pid="16" name="_NewReviewCycle">
    <vt:lpwstr/>
  </property>
</Properties>
</file>