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3C0DA" w14:textId="77777777" w:rsidR="00B93E87" w:rsidRDefault="00B93E87" w:rsidP="00B93E87">
      <w:pPr>
        <w:pBdr>
          <w:top w:val="single" w:sz="4" w:space="1" w:color="auto"/>
          <w:left w:val="single" w:sz="4" w:space="4" w:color="auto"/>
          <w:bottom w:val="single" w:sz="4" w:space="1" w:color="auto"/>
          <w:right w:val="single" w:sz="4" w:space="4" w:color="auto"/>
        </w:pBdr>
        <w:spacing w:after="0" w:line="240" w:lineRule="auto"/>
        <w:rPr>
          <w:b/>
          <w:lang w:val="de-DE"/>
        </w:rPr>
      </w:pPr>
    </w:p>
    <w:p w14:paraId="34EA4DA7" w14:textId="77777777" w:rsidR="00B93E87" w:rsidRPr="00B93E87" w:rsidRDefault="00B93E87" w:rsidP="00B93E87">
      <w:pPr>
        <w:pBdr>
          <w:top w:val="single" w:sz="4" w:space="1" w:color="auto"/>
          <w:left w:val="single" w:sz="4" w:space="4" w:color="auto"/>
          <w:bottom w:val="single" w:sz="4" w:space="1" w:color="auto"/>
          <w:right w:val="single" w:sz="4" w:space="4" w:color="auto"/>
        </w:pBdr>
        <w:spacing w:after="0" w:line="240" w:lineRule="auto"/>
        <w:rPr>
          <w:b/>
          <w:lang w:val="de-DE"/>
        </w:rPr>
      </w:pPr>
      <w:r w:rsidRPr="00B93E87">
        <w:rPr>
          <w:b/>
          <w:lang w:val="de-DE"/>
        </w:rPr>
        <w:t>Zukunft der Altersversorgung</w:t>
      </w:r>
      <w:r w:rsidR="0056516B">
        <w:rPr>
          <w:b/>
          <w:lang w:val="de-DE"/>
        </w:rPr>
        <w:t xml:space="preserve"> 2022</w:t>
      </w:r>
    </w:p>
    <w:p w14:paraId="1BB1CD12" w14:textId="77777777" w:rsidR="00B93E87" w:rsidRDefault="00B93E87" w:rsidP="00B93E87">
      <w:pPr>
        <w:pBdr>
          <w:top w:val="single" w:sz="4" w:space="1" w:color="auto"/>
          <w:left w:val="single" w:sz="4" w:space="4" w:color="auto"/>
          <w:bottom w:val="single" w:sz="4" w:space="1" w:color="auto"/>
          <w:right w:val="single" w:sz="4" w:space="4" w:color="auto"/>
        </w:pBdr>
        <w:spacing w:after="0" w:line="240" w:lineRule="auto"/>
        <w:rPr>
          <w:b/>
          <w:lang w:val="de-DE"/>
        </w:rPr>
      </w:pPr>
    </w:p>
    <w:p w14:paraId="0F14F75F" w14:textId="3681211B" w:rsidR="00B93E87" w:rsidRDefault="00B93E87" w:rsidP="00B93E87">
      <w:pPr>
        <w:spacing w:after="0" w:line="240" w:lineRule="auto"/>
        <w:rPr>
          <w:lang w:val="de-DE"/>
        </w:rPr>
      </w:pPr>
    </w:p>
    <w:p w14:paraId="472502E8" w14:textId="4943989A" w:rsidR="00225C33" w:rsidRPr="00225C33" w:rsidRDefault="00225C33" w:rsidP="00225C33">
      <w:pPr>
        <w:pStyle w:val="Listenabsatz"/>
        <w:numPr>
          <w:ilvl w:val="0"/>
          <w:numId w:val="12"/>
        </w:numPr>
        <w:spacing w:after="0" w:line="240" w:lineRule="auto"/>
        <w:ind w:left="284"/>
        <w:jc w:val="both"/>
        <w:rPr>
          <w:b/>
          <w:bCs/>
          <w:lang w:val="de-DE"/>
        </w:rPr>
      </w:pPr>
      <w:r w:rsidRPr="00225C33">
        <w:rPr>
          <w:b/>
          <w:bCs/>
          <w:lang w:val="de-DE"/>
        </w:rPr>
        <w:t>Altersvorsorge für abhängig Beschäftigte</w:t>
      </w:r>
      <w:bookmarkStart w:id="0" w:name="_GoBack"/>
      <w:bookmarkEnd w:id="0"/>
    </w:p>
    <w:p w14:paraId="12DFCEB8" w14:textId="2F0A2E61" w:rsidR="00225C33" w:rsidRDefault="00225C33" w:rsidP="00B93E87">
      <w:pPr>
        <w:spacing w:after="0" w:line="240" w:lineRule="auto"/>
        <w:rPr>
          <w:lang w:val="de-DE"/>
        </w:rPr>
      </w:pPr>
    </w:p>
    <w:p w14:paraId="34A2084B" w14:textId="77777777" w:rsidR="00225C33" w:rsidRDefault="00225C33" w:rsidP="00B93E87">
      <w:pPr>
        <w:spacing w:after="0" w:line="240" w:lineRule="auto"/>
        <w:rPr>
          <w:lang w:val="de-DE"/>
        </w:rPr>
      </w:pPr>
    </w:p>
    <w:p w14:paraId="3262A418" w14:textId="77777777" w:rsidR="00B93E87" w:rsidRDefault="00B93E87" w:rsidP="00B93E87">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Hintergrund</w:t>
      </w:r>
    </w:p>
    <w:p w14:paraId="0D3E097C" w14:textId="77777777" w:rsidR="00B93E87" w:rsidRDefault="00B93E87" w:rsidP="00B93E87">
      <w:pPr>
        <w:spacing w:after="0" w:line="240" w:lineRule="auto"/>
        <w:rPr>
          <w:lang w:val="de-DE"/>
        </w:rPr>
      </w:pPr>
    </w:p>
    <w:p w14:paraId="1FFE8894" w14:textId="77777777" w:rsidR="00D03D49" w:rsidRDefault="005B4869" w:rsidP="00D03D49">
      <w:pPr>
        <w:spacing w:after="0" w:line="240" w:lineRule="auto"/>
        <w:jc w:val="both"/>
        <w:rPr>
          <w:lang w:val="de-DE"/>
        </w:rPr>
      </w:pPr>
      <w:r>
        <w:rPr>
          <w:lang w:val="de-DE"/>
        </w:rPr>
        <w:t>Zur</w:t>
      </w:r>
      <w:r w:rsidR="00C8589D">
        <w:rPr>
          <w:lang w:val="de-DE"/>
        </w:rPr>
        <w:t xml:space="preserve"> Stärkung der </w:t>
      </w:r>
      <w:r w:rsidR="00B93E87">
        <w:rPr>
          <w:lang w:val="de-DE"/>
        </w:rPr>
        <w:t>Altersv</w:t>
      </w:r>
      <w:r w:rsidR="007F05B9">
        <w:rPr>
          <w:lang w:val="de-DE"/>
        </w:rPr>
        <w:t>e</w:t>
      </w:r>
      <w:r w:rsidR="00B93E87">
        <w:rPr>
          <w:lang w:val="de-DE"/>
        </w:rPr>
        <w:t>rsorg</w:t>
      </w:r>
      <w:r w:rsidR="007F05B9">
        <w:rPr>
          <w:lang w:val="de-DE"/>
        </w:rPr>
        <w:t>ung in Deutschland</w:t>
      </w:r>
      <w:r w:rsidR="00B93E87">
        <w:rPr>
          <w:lang w:val="de-DE"/>
        </w:rPr>
        <w:t xml:space="preserve"> </w:t>
      </w:r>
      <w:r w:rsidR="00C8589D">
        <w:rPr>
          <w:lang w:val="de-DE"/>
        </w:rPr>
        <w:t>werden</w:t>
      </w:r>
      <w:r w:rsidR="00B93E87">
        <w:rPr>
          <w:lang w:val="de-DE"/>
        </w:rPr>
        <w:t xml:space="preserve"> </w:t>
      </w:r>
      <w:r w:rsidR="00D03D49">
        <w:rPr>
          <w:lang w:val="de-DE"/>
        </w:rPr>
        <w:t>in der gerade begonnenen neuen Legislaturperiode des Bundestags</w:t>
      </w:r>
      <w:r w:rsidR="00C8589D">
        <w:rPr>
          <w:lang w:val="de-DE"/>
        </w:rPr>
        <w:t xml:space="preserve"> in allen politischen </w:t>
      </w:r>
      <w:r>
        <w:rPr>
          <w:lang w:val="de-DE"/>
        </w:rPr>
        <w:t>Lagern</w:t>
      </w:r>
      <w:r w:rsidR="00C8589D">
        <w:rPr>
          <w:lang w:val="de-DE"/>
        </w:rPr>
        <w:t xml:space="preserve"> Lösungen gesucht. </w:t>
      </w:r>
    </w:p>
    <w:p w14:paraId="2C87BB1A" w14:textId="77777777" w:rsidR="00E211F1" w:rsidRDefault="00E211F1" w:rsidP="00D03D49">
      <w:pPr>
        <w:spacing w:after="0" w:line="240" w:lineRule="auto"/>
        <w:jc w:val="both"/>
        <w:rPr>
          <w:lang w:val="de-DE"/>
        </w:rPr>
      </w:pPr>
    </w:p>
    <w:p w14:paraId="2A004C4D" w14:textId="77777777" w:rsidR="00D03D49" w:rsidRDefault="007A1EF7" w:rsidP="00D03D49">
      <w:pPr>
        <w:spacing w:after="0" w:line="240" w:lineRule="auto"/>
        <w:jc w:val="both"/>
        <w:rPr>
          <w:lang w:val="de-DE"/>
        </w:rPr>
      </w:pPr>
      <w:r>
        <w:rPr>
          <w:lang w:val="de-DE"/>
        </w:rPr>
        <w:t>Das</w:t>
      </w:r>
      <w:r w:rsidR="007F05B9">
        <w:rPr>
          <w:lang w:val="de-DE"/>
        </w:rPr>
        <w:t xml:space="preserve"> bestehende</w:t>
      </w:r>
      <w:r>
        <w:rPr>
          <w:lang w:val="de-DE"/>
        </w:rPr>
        <w:t xml:space="preserve"> </w:t>
      </w:r>
      <w:r w:rsidR="00DB43A7">
        <w:rPr>
          <w:lang w:val="de-DE"/>
        </w:rPr>
        <w:t>D</w:t>
      </w:r>
      <w:r>
        <w:rPr>
          <w:lang w:val="de-DE"/>
        </w:rPr>
        <w:t>rei</w:t>
      </w:r>
      <w:r w:rsidR="00DB43A7">
        <w:rPr>
          <w:lang w:val="de-DE"/>
        </w:rPr>
        <w:t>-</w:t>
      </w:r>
      <w:r>
        <w:rPr>
          <w:lang w:val="de-DE"/>
        </w:rPr>
        <w:t>Säulen-</w:t>
      </w:r>
      <w:r w:rsidR="00006EF7">
        <w:rPr>
          <w:lang w:val="de-DE"/>
        </w:rPr>
        <w:t xml:space="preserve">Modell </w:t>
      </w:r>
      <w:r w:rsidR="00D03D49">
        <w:rPr>
          <w:lang w:val="de-DE"/>
        </w:rPr>
        <w:t>soll auf seine Zukunftsfähigkeit hin überprüft und in der ersten Säule um eine Kaptaldeckung in Höhe von 10 Mrd. Euro ergänzt werden.</w:t>
      </w:r>
    </w:p>
    <w:p w14:paraId="687C01D6" w14:textId="77777777" w:rsidR="00D03D49" w:rsidRDefault="00D03D49" w:rsidP="00D03D49">
      <w:pPr>
        <w:spacing w:after="0" w:line="240" w:lineRule="auto"/>
        <w:jc w:val="both"/>
        <w:rPr>
          <w:lang w:val="de-DE"/>
        </w:rPr>
      </w:pPr>
    </w:p>
    <w:p w14:paraId="785F53BE" w14:textId="6112CC87" w:rsidR="00D03D49" w:rsidRDefault="009C402A" w:rsidP="00D03D49">
      <w:pPr>
        <w:spacing w:after="0" w:line="240" w:lineRule="auto"/>
        <w:jc w:val="both"/>
        <w:rPr>
          <w:lang w:val="de-DE"/>
        </w:rPr>
      </w:pPr>
      <w:r>
        <w:rPr>
          <w:lang w:val="de-DE"/>
        </w:rPr>
        <w:t xml:space="preserve">Die </w:t>
      </w:r>
      <w:r w:rsidR="008541D0" w:rsidRPr="008541D0">
        <w:rPr>
          <w:b/>
          <w:lang w:val="de-DE"/>
        </w:rPr>
        <w:t>erste Säule</w:t>
      </w:r>
      <w:r w:rsidR="007A1EF7">
        <w:rPr>
          <w:lang w:val="de-DE"/>
        </w:rPr>
        <w:t xml:space="preserve"> als</w:t>
      </w:r>
      <w:r w:rsidR="007A1EF7" w:rsidRPr="007A1EF7">
        <w:rPr>
          <w:b/>
          <w:lang w:val="de-DE"/>
        </w:rPr>
        <w:t xml:space="preserve"> staatliche Regelsicherung</w:t>
      </w:r>
      <w:r w:rsidR="007A1EF7">
        <w:rPr>
          <w:lang w:val="de-DE"/>
        </w:rPr>
        <w:t xml:space="preserve"> reicht</w:t>
      </w:r>
      <w:r w:rsidR="007F05B9">
        <w:rPr>
          <w:lang w:val="de-DE"/>
        </w:rPr>
        <w:t xml:space="preserve"> </w:t>
      </w:r>
      <w:r w:rsidR="00D03D49">
        <w:rPr>
          <w:lang w:val="de-DE"/>
        </w:rPr>
        <w:t xml:space="preserve">in der Tat </w:t>
      </w:r>
      <w:r w:rsidR="00C007AC">
        <w:rPr>
          <w:lang w:val="de-DE"/>
        </w:rPr>
        <w:t>alleine nicht mehr</w:t>
      </w:r>
      <w:r w:rsidR="007A1EF7">
        <w:rPr>
          <w:lang w:val="de-DE"/>
        </w:rPr>
        <w:t xml:space="preserve"> aus</w:t>
      </w:r>
      <w:r w:rsidR="00590720">
        <w:rPr>
          <w:lang w:val="de-DE"/>
        </w:rPr>
        <w:t xml:space="preserve">, </w:t>
      </w:r>
      <w:r w:rsidR="00480619">
        <w:rPr>
          <w:lang w:val="de-DE"/>
        </w:rPr>
        <w:t>um weiten Teilen der Bevölkerung ein angemessenes Leben im Alter zu sichern.</w:t>
      </w:r>
      <w:r w:rsidR="00C007AC">
        <w:rPr>
          <w:lang w:val="de-DE"/>
        </w:rPr>
        <w:t xml:space="preserve"> </w:t>
      </w:r>
      <w:r w:rsidR="00D03D49">
        <w:rPr>
          <w:lang w:val="de-DE"/>
        </w:rPr>
        <w:t>2020</w:t>
      </w:r>
      <w:r w:rsidR="00C007AC">
        <w:rPr>
          <w:lang w:val="de-DE"/>
        </w:rPr>
        <w:t xml:space="preserve"> bezogen knapp </w:t>
      </w:r>
      <w:r w:rsidR="00D03D49">
        <w:rPr>
          <w:lang w:val="de-DE"/>
        </w:rPr>
        <w:t>830.000</w:t>
      </w:r>
      <w:r w:rsidR="00C007AC">
        <w:rPr>
          <w:lang w:val="de-DE"/>
        </w:rPr>
        <w:t xml:space="preserve"> Rentenversicherte erstmalig eine Altersrente i. H.</w:t>
      </w:r>
      <w:r w:rsidR="00CD7446">
        <w:rPr>
          <w:lang w:val="de-DE"/>
        </w:rPr>
        <w:t xml:space="preserve"> </w:t>
      </w:r>
      <w:r w:rsidR="00C007AC">
        <w:rPr>
          <w:lang w:val="de-DE"/>
        </w:rPr>
        <w:t xml:space="preserve">v. durchschnittlich </w:t>
      </w:r>
      <w:r w:rsidR="00D03D49">
        <w:rPr>
          <w:lang w:val="de-DE"/>
        </w:rPr>
        <w:t>989</w:t>
      </w:r>
      <w:r w:rsidR="00C007AC">
        <w:rPr>
          <w:lang w:val="de-DE"/>
        </w:rPr>
        <w:t xml:space="preserve"> </w:t>
      </w:r>
      <w:r w:rsidR="00D03D49">
        <w:rPr>
          <w:lang w:val="de-DE"/>
        </w:rPr>
        <w:t>Euro</w:t>
      </w:r>
      <w:r w:rsidR="00C007AC">
        <w:rPr>
          <w:lang w:val="de-DE"/>
        </w:rPr>
        <w:t xml:space="preserve"> mtl. Die überdurchschnittlich hohen Altersrenten für besonders langjährig Versicherten („Rente mit 63“) betrugen im Schnitt </w:t>
      </w:r>
      <w:r w:rsidR="00D03D49">
        <w:rPr>
          <w:lang w:val="de-DE"/>
        </w:rPr>
        <w:t>1290</w:t>
      </w:r>
      <w:r w:rsidR="00C007AC">
        <w:rPr>
          <w:lang w:val="de-DE"/>
        </w:rPr>
        <w:t xml:space="preserve"> </w:t>
      </w:r>
      <w:r w:rsidR="00D03D49">
        <w:rPr>
          <w:lang w:val="de-DE"/>
        </w:rPr>
        <w:t xml:space="preserve">Euro </w:t>
      </w:r>
      <w:r w:rsidR="00C007AC">
        <w:rPr>
          <w:lang w:val="de-DE"/>
        </w:rPr>
        <w:t>brutto. Tendenz in allen Bereichen fallend</w:t>
      </w:r>
      <w:r w:rsidR="00CB132F">
        <w:rPr>
          <w:rStyle w:val="Funotenzeichen"/>
          <w:lang w:val="de-DE"/>
        </w:rPr>
        <w:footnoteReference w:id="1"/>
      </w:r>
      <w:r w:rsidR="00C007AC">
        <w:rPr>
          <w:lang w:val="de-DE"/>
        </w:rPr>
        <w:t>.</w:t>
      </w:r>
      <w:r w:rsidR="00480619">
        <w:rPr>
          <w:lang w:val="de-DE"/>
        </w:rPr>
        <w:t xml:space="preserve"> </w:t>
      </w:r>
    </w:p>
    <w:p w14:paraId="7C1C9A87" w14:textId="77777777" w:rsidR="00D03D49" w:rsidRDefault="00C007AC" w:rsidP="00D03D49">
      <w:pPr>
        <w:spacing w:after="0" w:line="240" w:lineRule="auto"/>
        <w:jc w:val="both"/>
        <w:rPr>
          <w:lang w:val="de-DE"/>
        </w:rPr>
      </w:pPr>
      <w:r>
        <w:rPr>
          <w:lang w:val="de-DE"/>
        </w:rPr>
        <w:t>Es bedarf</w:t>
      </w:r>
      <w:r w:rsidR="00480619">
        <w:rPr>
          <w:lang w:val="de-DE"/>
        </w:rPr>
        <w:t xml:space="preserve"> jetzt </w:t>
      </w:r>
      <w:r w:rsidR="00D03D49">
        <w:rPr>
          <w:lang w:val="de-DE"/>
        </w:rPr>
        <w:t xml:space="preserve">der schon in den vergangenen Legislaturperioden angekündigten </w:t>
      </w:r>
      <w:r w:rsidR="00480619">
        <w:rPr>
          <w:lang w:val="de-DE"/>
        </w:rPr>
        <w:t>Reformen</w:t>
      </w:r>
      <w:r w:rsidR="00D03D49">
        <w:rPr>
          <w:lang w:val="de-DE"/>
        </w:rPr>
        <w:t>,</w:t>
      </w:r>
      <w:r w:rsidR="00480619">
        <w:rPr>
          <w:lang w:val="de-DE"/>
        </w:rPr>
        <w:t xml:space="preserve"> </w:t>
      </w:r>
      <w:r w:rsidR="00590720">
        <w:rPr>
          <w:lang w:val="de-DE"/>
        </w:rPr>
        <w:t xml:space="preserve">um die Folgen des demografischen Wandels </w:t>
      </w:r>
      <w:r w:rsidR="00D03D49">
        <w:rPr>
          <w:lang w:val="de-DE"/>
        </w:rPr>
        <w:t xml:space="preserve">sozialpolitisch </w:t>
      </w:r>
      <w:r w:rsidR="00590720">
        <w:rPr>
          <w:lang w:val="de-DE"/>
        </w:rPr>
        <w:t>aufzufangen</w:t>
      </w:r>
      <w:r w:rsidR="007A1EF7">
        <w:rPr>
          <w:lang w:val="de-DE"/>
        </w:rPr>
        <w:t xml:space="preserve">. </w:t>
      </w:r>
    </w:p>
    <w:p w14:paraId="70612CA5" w14:textId="77777777" w:rsidR="00D03D49" w:rsidRDefault="00D03D49" w:rsidP="00D03D49">
      <w:pPr>
        <w:spacing w:after="0" w:line="240" w:lineRule="auto"/>
        <w:jc w:val="both"/>
        <w:rPr>
          <w:lang w:val="de-DE"/>
        </w:rPr>
      </w:pPr>
    </w:p>
    <w:p w14:paraId="5AFA9CAB" w14:textId="60AA3C16" w:rsidR="00DB43A7" w:rsidRDefault="00AD0197" w:rsidP="00D03D49">
      <w:pPr>
        <w:spacing w:after="0" w:line="240" w:lineRule="auto"/>
        <w:jc w:val="both"/>
        <w:rPr>
          <w:lang w:val="de-DE"/>
        </w:rPr>
      </w:pPr>
      <w:r>
        <w:rPr>
          <w:lang w:val="de-DE"/>
        </w:rPr>
        <w:t>Die</w:t>
      </w:r>
      <w:r w:rsidR="00E40B7D">
        <w:rPr>
          <w:lang w:val="de-DE"/>
        </w:rPr>
        <w:t xml:space="preserve"> </w:t>
      </w:r>
      <w:r w:rsidR="00E40B7D" w:rsidRPr="008541D0">
        <w:rPr>
          <w:b/>
          <w:lang w:val="de-DE"/>
        </w:rPr>
        <w:t>zweite Säule</w:t>
      </w:r>
      <w:r w:rsidR="00E40B7D">
        <w:rPr>
          <w:lang w:val="de-DE"/>
        </w:rPr>
        <w:t xml:space="preserve"> der Altersversorgung, die </w:t>
      </w:r>
      <w:r w:rsidR="00E40B7D" w:rsidRPr="007A1EF7">
        <w:rPr>
          <w:b/>
          <w:lang w:val="de-DE"/>
        </w:rPr>
        <w:t xml:space="preserve">betriebliche </w:t>
      </w:r>
      <w:r w:rsidR="007F05B9">
        <w:rPr>
          <w:b/>
          <w:lang w:val="de-DE"/>
        </w:rPr>
        <w:t>V</w:t>
      </w:r>
      <w:r w:rsidR="00E40B7D" w:rsidRPr="007A1EF7">
        <w:rPr>
          <w:b/>
          <w:lang w:val="de-DE"/>
        </w:rPr>
        <w:t>orsorge</w:t>
      </w:r>
      <w:r w:rsidR="00F05416" w:rsidRPr="007A1EF7">
        <w:rPr>
          <w:b/>
          <w:lang w:val="de-DE"/>
        </w:rPr>
        <w:t xml:space="preserve"> (bAV)</w:t>
      </w:r>
      <w:r w:rsidR="00E40B7D">
        <w:rPr>
          <w:lang w:val="de-DE"/>
        </w:rPr>
        <w:t xml:space="preserve"> in der Privatwirtschaft </w:t>
      </w:r>
      <w:r>
        <w:rPr>
          <w:lang w:val="de-DE"/>
        </w:rPr>
        <w:t>ist auf eine</w:t>
      </w:r>
      <w:r w:rsidR="007F05B9">
        <w:rPr>
          <w:lang w:val="de-DE"/>
        </w:rPr>
        <w:t>m</w:t>
      </w:r>
      <w:r>
        <w:rPr>
          <w:lang w:val="de-DE"/>
        </w:rPr>
        <w:t xml:space="preserve"> guten Weg</w:t>
      </w:r>
      <w:r w:rsidR="00F76F2A">
        <w:rPr>
          <w:lang w:val="de-DE"/>
        </w:rPr>
        <w:t>.</w:t>
      </w:r>
      <w:r w:rsidR="007755D1">
        <w:rPr>
          <w:lang w:val="de-DE"/>
        </w:rPr>
        <w:t xml:space="preserve"> </w:t>
      </w:r>
      <w:r w:rsidR="00F76F2A">
        <w:rPr>
          <w:lang w:val="de-DE"/>
        </w:rPr>
        <w:t>I</w:t>
      </w:r>
      <w:r w:rsidR="007755D1">
        <w:rPr>
          <w:lang w:val="de-DE"/>
        </w:rPr>
        <w:t xml:space="preserve">n Großunternehmen </w:t>
      </w:r>
      <w:r w:rsidR="00F76F2A">
        <w:rPr>
          <w:lang w:val="de-DE"/>
        </w:rPr>
        <w:t xml:space="preserve">ist die bAV zwar </w:t>
      </w:r>
      <w:r w:rsidR="007755D1">
        <w:rPr>
          <w:lang w:val="de-DE"/>
        </w:rPr>
        <w:t>weit verbreitet,</w:t>
      </w:r>
      <w:r>
        <w:rPr>
          <w:lang w:val="de-DE"/>
        </w:rPr>
        <w:t xml:space="preserve"> muss jedoch</w:t>
      </w:r>
      <w:r w:rsidR="00871168">
        <w:rPr>
          <w:lang w:val="de-DE"/>
        </w:rPr>
        <w:t xml:space="preserve"> </w:t>
      </w:r>
      <w:r w:rsidR="007755D1">
        <w:rPr>
          <w:lang w:val="de-DE"/>
        </w:rPr>
        <w:t xml:space="preserve">vor allem arbeitgeberseitig vor allem für Klein- und Mittelunternehmen (KMU) und arbeitnehmerseitig vor allem für untere Einkommensgruppen </w:t>
      </w:r>
      <w:r>
        <w:rPr>
          <w:lang w:val="de-DE"/>
        </w:rPr>
        <w:t xml:space="preserve">attraktiver </w:t>
      </w:r>
      <w:r w:rsidR="00590720">
        <w:rPr>
          <w:lang w:val="de-DE"/>
        </w:rPr>
        <w:t xml:space="preserve">und zielgruppengerechter </w:t>
      </w:r>
      <w:r>
        <w:rPr>
          <w:lang w:val="de-DE"/>
        </w:rPr>
        <w:t>ausgestaltet werden.</w:t>
      </w:r>
      <w:r w:rsidR="00E40B7D">
        <w:rPr>
          <w:lang w:val="de-DE"/>
        </w:rPr>
        <w:t xml:space="preserve"> </w:t>
      </w:r>
      <w:r w:rsidR="00274358">
        <w:rPr>
          <w:lang w:val="de-DE"/>
        </w:rPr>
        <w:t xml:space="preserve">Der </w:t>
      </w:r>
      <w:r w:rsidR="009B4A14">
        <w:rPr>
          <w:lang w:val="de-DE"/>
        </w:rPr>
        <w:t>Gesetz</w:t>
      </w:r>
      <w:r w:rsidR="00274358">
        <w:rPr>
          <w:lang w:val="de-DE"/>
        </w:rPr>
        <w:t xml:space="preserve">entwurf zum Betriebsrentenstärkungsgesetz </w:t>
      </w:r>
      <w:r w:rsidR="00283400">
        <w:rPr>
          <w:lang w:val="de-DE"/>
        </w:rPr>
        <w:t>hat</w:t>
      </w:r>
      <w:r w:rsidR="00D03D49">
        <w:rPr>
          <w:lang w:val="de-DE"/>
        </w:rPr>
        <w:t>te</w:t>
      </w:r>
      <w:r w:rsidR="00283400">
        <w:rPr>
          <w:lang w:val="de-DE"/>
        </w:rPr>
        <w:t xml:space="preserve"> einige richtige Ansätze</w:t>
      </w:r>
      <w:r w:rsidR="00871168">
        <w:rPr>
          <w:lang w:val="de-DE"/>
        </w:rPr>
        <w:t xml:space="preserve">. Er </w:t>
      </w:r>
      <w:r w:rsidR="00283400">
        <w:rPr>
          <w:lang w:val="de-DE"/>
        </w:rPr>
        <w:t xml:space="preserve">muss aber an entscheidenden Stellen </w:t>
      </w:r>
      <w:r w:rsidR="007755D1">
        <w:rPr>
          <w:lang w:val="de-DE"/>
        </w:rPr>
        <w:t xml:space="preserve">noch dringend </w:t>
      </w:r>
      <w:r w:rsidR="00283400">
        <w:rPr>
          <w:lang w:val="de-DE"/>
        </w:rPr>
        <w:t>nachgebes</w:t>
      </w:r>
      <w:r w:rsidR="00274358">
        <w:rPr>
          <w:lang w:val="de-DE"/>
        </w:rPr>
        <w:t>se</w:t>
      </w:r>
      <w:r w:rsidR="00283400">
        <w:rPr>
          <w:lang w:val="de-DE"/>
        </w:rPr>
        <w:t xml:space="preserve">rt werden. </w:t>
      </w:r>
    </w:p>
    <w:p w14:paraId="7DCFF0B4" w14:textId="77777777" w:rsidR="0073671E" w:rsidRDefault="0073671E" w:rsidP="00D03D49">
      <w:pPr>
        <w:spacing w:after="0" w:line="240" w:lineRule="auto"/>
        <w:jc w:val="both"/>
        <w:rPr>
          <w:lang w:val="de-DE"/>
        </w:rPr>
      </w:pPr>
    </w:p>
    <w:p w14:paraId="518C65BF" w14:textId="285CBB4C" w:rsidR="0073671E" w:rsidRDefault="0073671E" w:rsidP="00D03D49">
      <w:pPr>
        <w:spacing w:after="0" w:line="240" w:lineRule="auto"/>
        <w:jc w:val="both"/>
        <w:rPr>
          <w:b/>
          <w:bCs/>
          <w:lang w:val="de-DE"/>
        </w:rPr>
      </w:pPr>
      <w:r w:rsidRPr="0073671E">
        <w:rPr>
          <w:b/>
          <w:bCs/>
          <w:lang w:val="de-DE"/>
        </w:rPr>
        <w:t>Dritte Säule</w:t>
      </w:r>
      <w:r w:rsidR="008541D0">
        <w:rPr>
          <w:b/>
          <w:bCs/>
          <w:lang w:val="de-DE"/>
        </w:rPr>
        <w:t xml:space="preserve"> (private Altersvorsorge)</w:t>
      </w:r>
    </w:p>
    <w:p w14:paraId="406F842E" w14:textId="77777777" w:rsidR="00E211F1" w:rsidRPr="0073671E" w:rsidRDefault="00E211F1" w:rsidP="00D03D49">
      <w:pPr>
        <w:spacing w:after="0" w:line="240" w:lineRule="auto"/>
        <w:jc w:val="both"/>
        <w:rPr>
          <w:b/>
          <w:bCs/>
          <w:lang w:val="de-DE"/>
        </w:rPr>
      </w:pPr>
    </w:p>
    <w:p w14:paraId="06401DF9" w14:textId="33E0B6AD" w:rsidR="00DB43A7" w:rsidRDefault="007755D1" w:rsidP="00D03D49">
      <w:pPr>
        <w:spacing w:after="0" w:line="240" w:lineRule="auto"/>
        <w:jc w:val="both"/>
        <w:rPr>
          <w:lang w:val="de-DE"/>
        </w:rPr>
      </w:pPr>
      <w:r>
        <w:rPr>
          <w:lang w:val="de-DE"/>
        </w:rPr>
        <w:t>Durch den schon existenten demographischen Wandel</w:t>
      </w:r>
      <w:r w:rsidR="007F05B9">
        <w:rPr>
          <w:lang w:val="de-DE"/>
        </w:rPr>
        <w:t xml:space="preserve"> </w:t>
      </w:r>
      <w:r w:rsidR="00AD0197">
        <w:rPr>
          <w:lang w:val="de-DE"/>
        </w:rPr>
        <w:t>steht fest, dass</w:t>
      </w:r>
      <w:r w:rsidR="00E40B7D">
        <w:rPr>
          <w:lang w:val="de-DE"/>
        </w:rPr>
        <w:t xml:space="preserve"> die staatliche Regelsicherung insbesondere für Geringverdiene</w:t>
      </w:r>
      <w:r w:rsidR="00283400">
        <w:rPr>
          <w:lang w:val="de-DE"/>
        </w:rPr>
        <w:t>r</w:t>
      </w:r>
      <w:r w:rsidR="00447FD4">
        <w:rPr>
          <w:lang w:val="de-DE"/>
        </w:rPr>
        <w:t xml:space="preserve">, zunehmend aber auch für </w:t>
      </w:r>
      <w:r w:rsidR="007F05B9">
        <w:rPr>
          <w:lang w:val="de-DE"/>
        </w:rPr>
        <w:t>Durchschnittsverdiener</w:t>
      </w:r>
      <w:r w:rsidR="00E40B7D">
        <w:rPr>
          <w:lang w:val="de-DE"/>
        </w:rPr>
        <w:t xml:space="preserve"> in Zukunft </w:t>
      </w:r>
      <w:r>
        <w:rPr>
          <w:lang w:val="de-DE"/>
        </w:rPr>
        <w:t xml:space="preserve">in der Regel </w:t>
      </w:r>
      <w:r w:rsidR="00E40B7D">
        <w:rPr>
          <w:lang w:val="de-DE"/>
        </w:rPr>
        <w:t xml:space="preserve">nicht mehr </w:t>
      </w:r>
      <w:r>
        <w:rPr>
          <w:lang w:val="de-DE"/>
        </w:rPr>
        <w:t xml:space="preserve">allein </w:t>
      </w:r>
      <w:r w:rsidR="00E40B7D">
        <w:rPr>
          <w:lang w:val="de-DE"/>
        </w:rPr>
        <w:t>ausreichen</w:t>
      </w:r>
      <w:r w:rsidR="00AD0197">
        <w:rPr>
          <w:lang w:val="de-DE"/>
        </w:rPr>
        <w:t xml:space="preserve"> wird</w:t>
      </w:r>
      <w:r w:rsidR="00E40B7D">
        <w:rPr>
          <w:lang w:val="de-DE"/>
        </w:rPr>
        <w:t>.</w:t>
      </w:r>
      <w:r w:rsidR="007A1EF7">
        <w:rPr>
          <w:lang w:val="de-DE"/>
        </w:rPr>
        <w:t xml:space="preserve"> </w:t>
      </w:r>
      <w:r w:rsidR="002E50D5">
        <w:rPr>
          <w:lang w:val="de-DE"/>
        </w:rPr>
        <w:t>So zeigen die Modellrechnungen</w:t>
      </w:r>
      <w:r w:rsidR="00D03D49">
        <w:rPr>
          <w:lang w:val="de-DE"/>
        </w:rPr>
        <w:t xml:space="preserve"> schon seit Jahren unverändert</w:t>
      </w:r>
      <w:r w:rsidR="002E50D5">
        <w:rPr>
          <w:lang w:val="de-DE"/>
        </w:rPr>
        <w:t xml:space="preserve">, dass die Relation von Renten zu Löhnen von derzeit rund 48 % </w:t>
      </w:r>
      <w:r w:rsidR="00480619">
        <w:rPr>
          <w:lang w:val="de-DE"/>
        </w:rPr>
        <w:t>ab dem</w:t>
      </w:r>
      <w:r w:rsidR="002E50D5">
        <w:rPr>
          <w:lang w:val="de-DE"/>
        </w:rPr>
        <w:t xml:space="preserve"> Jahr 2030 bis auf 44,5 %</w:t>
      </w:r>
      <w:r w:rsidR="002E50D5">
        <w:rPr>
          <w:rStyle w:val="Funotenzeichen"/>
          <w:lang w:val="de-DE"/>
        </w:rPr>
        <w:footnoteReference w:id="2"/>
      </w:r>
      <w:r w:rsidR="002E50D5">
        <w:rPr>
          <w:lang w:val="de-DE"/>
        </w:rPr>
        <w:t xml:space="preserve"> sinken wird. </w:t>
      </w:r>
      <w:r w:rsidR="004B22E9">
        <w:rPr>
          <w:lang w:val="de-DE"/>
        </w:rPr>
        <w:t>Soll</w:t>
      </w:r>
      <w:r w:rsidR="001E4090">
        <w:rPr>
          <w:lang w:val="de-DE"/>
        </w:rPr>
        <w:t xml:space="preserve"> auch in Zukunft</w:t>
      </w:r>
      <w:r w:rsidR="00836560">
        <w:rPr>
          <w:lang w:val="de-DE"/>
        </w:rPr>
        <w:t xml:space="preserve"> der Grundsatz der</w:t>
      </w:r>
      <w:r w:rsidR="004B22E9">
        <w:rPr>
          <w:lang w:val="de-DE"/>
        </w:rPr>
        <w:t xml:space="preserve"> Generation</w:t>
      </w:r>
      <w:r w:rsidR="00E42CC7">
        <w:rPr>
          <w:lang w:val="de-DE"/>
        </w:rPr>
        <w:t>en</w:t>
      </w:r>
      <w:r w:rsidR="00836560">
        <w:rPr>
          <w:lang w:val="de-DE"/>
        </w:rPr>
        <w:t>gerechtigkeit</w:t>
      </w:r>
      <w:r w:rsidR="004B22E9">
        <w:rPr>
          <w:lang w:val="de-DE"/>
        </w:rPr>
        <w:t xml:space="preserve"> bei der </w:t>
      </w:r>
      <w:r w:rsidR="00871168">
        <w:rPr>
          <w:lang w:val="de-DE"/>
        </w:rPr>
        <w:t xml:space="preserve">staatlichen </w:t>
      </w:r>
      <w:r w:rsidR="004B22E9">
        <w:rPr>
          <w:lang w:val="de-DE"/>
        </w:rPr>
        <w:t xml:space="preserve">Regelsicherung </w:t>
      </w:r>
      <w:r w:rsidR="00836560">
        <w:rPr>
          <w:lang w:val="de-DE"/>
        </w:rPr>
        <w:t xml:space="preserve">weiter </w:t>
      </w:r>
      <w:r w:rsidR="00DB43A7">
        <w:rPr>
          <w:lang w:val="de-DE"/>
        </w:rPr>
        <w:t>gelten</w:t>
      </w:r>
      <w:r w:rsidR="004B22E9">
        <w:rPr>
          <w:lang w:val="de-DE"/>
        </w:rPr>
        <w:t xml:space="preserve">, muss klar sein, dass die Beitragssätze für </w:t>
      </w:r>
      <w:r w:rsidR="00480619">
        <w:rPr>
          <w:lang w:val="de-DE"/>
        </w:rPr>
        <w:t xml:space="preserve">Arbeitgeber und </w:t>
      </w:r>
      <w:r w:rsidR="004B22E9">
        <w:rPr>
          <w:lang w:val="de-DE"/>
        </w:rPr>
        <w:t xml:space="preserve">Arbeitnehmer nicht </w:t>
      </w:r>
      <w:r w:rsidR="00836560">
        <w:rPr>
          <w:lang w:val="de-DE"/>
        </w:rPr>
        <w:t xml:space="preserve">unbeschränkt </w:t>
      </w:r>
      <w:r w:rsidR="004B22E9">
        <w:rPr>
          <w:lang w:val="de-DE"/>
        </w:rPr>
        <w:t xml:space="preserve">erhöht werden </w:t>
      </w:r>
      <w:r w:rsidR="00836560">
        <w:rPr>
          <w:lang w:val="de-DE"/>
        </w:rPr>
        <w:t>können</w:t>
      </w:r>
      <w:r w:rsidR="004B22E9">
        <w:rPr>
          <w:lang w:val="de-DE"/>
        </w:rPr>
        <w:t>.</w:t>
      </w:r>
      <w:r w:rsidR="00447FD4">
        <w:rPr>
          <w:lang w:val="de-DE"/>
        </w:rPr>
        <w:t xml:space="preserve"> </w:t>
      </w:r>
      <w:r w:rsidR="00590720">
        <w:rPr>
          <w:lang w:val="de-DE"/>
        </w:rPr>
        <w:t>Die Probleme der gesetzlichen Rentenversicherung dürfen nicht auf den Schultern nachfolgender Generationen ausgetragen werden.</w:t>
      </w:r>
      <w:r w:rsidR="00DB43A7">
        <w:rPr>
          <w:lang w:val="de-DE"/>
        </w:rPr>
        <w:t xml:space="preserve"> </w:t>
      </w:r>
    </w:p>
    <w:p w14:paraId="64CA9745" w14:textId="77777777" w:rsidR="00DB43A7" w:rsidRDefault="00DB43A7" w:rsidP="00D03D49">
      <w:pPr>
        <w:spacing w:after="0" w:line="240" w:lineRule="auto"/>
        <w:jc w:val="both"/>
        <w:rPr>
          <w:lang w:val="de-DE"/>
        </w:rPr>
      </w:pPr>
    </w:p>
    <w:p w14:paraId="4B1A2CA6" w14:textId="77777777" w:rsidR="004B22E9" w:rsidRDefault="00590720" w:rsidP="00D03D49">
      <w:pPr>
        <w:spacing w:after="0" w:line="240" w:lineRule="auto"/>
        <w:jc w:val="both"/>
        <w:rPr>
          <w:lang w:val="de-DE"/>
        </w:rPr>
      </w:pPr>
      <w:r>
        <w:rPr>
          <w:lang w:val="de-DE"/>
        </w:rPr>
        <w:t xml:space="preserve">Zugleich gilt: </w:t>
      </w:r>
      <w:r w:rsidR="00447FD4">
        <w:rPr>
          <w:lang w:val="de-DE"/>
        </w:rPr>
        <w:t xml:space="preserve">Nur der </w:t>
      </w:r>
      <w:r w:rsidR="00447FD4" w:rsidRPr="00B222B4">
        <w:rPr>
          <w:lang w:val="de-DE"/>
        </w:rPr>
        <w:t xml:space="preserve">Ausbau der </w:t>
      </w:r>
      <w:r w:rsidR="00447FD4">
        <w:rPr>
          <w:lang w:val="de-DE"/>
        </w:rPr>
        <w:t xml:space="preserve">betrieblichen und privaten </w:t>
      </w:r>
      <w:r w:rsidR="00836560">
        <w:rPr>
          <w:lang w:val="de-DE"/>
        </w:rPr>
        <w:t>kapitalgedeckten Altersvorsorge mit garantierten Mindestleistungen</w:t>
      </w:r>
      <w:r w:rsidR="00836560" w:rsidRPr="00B222B4">
        <w:rPr>
          <w:lang w:val="de-DE"/>
        </w:rPr>
        <w:t xml:space="preserve"> </w:t>
      </w:r>
      <w:r w:rsidR="00447FD4" w:rsidRPr="00B222B4">
        <w:rPr>
          <w:lang w:val="de-DE"/>
        </w:rPr>
        <w:t xml:space="preserve">ermöglicht es, die Alterseinkommen künftiger Rentnerinnen und Rentner </w:t>
      </w:r>
      <w:r w:rsidR="00836560">
        <w:rPr>
          <w:lang w:val="de-DE"/>
        </w:rPr>
        <w:t xml:space="preserve">sicherzustellen </w:t>
      </w:r>
      <w:r w:rsidR="002E50D5">
        <w:rPr>
          <w:lang w:val="de-DE"/>
        </w:rPr>
        <w:t xml:space="preserve">und </w:t>
      </w:r>
      <w:r w:rsidR="00447FD4" w:rsidRPr="00B222B4">
        <w:rPr>
          <w:lang w:val="de-DE"/>
        </w:rPr>
        <w:t xml:space="preserve">so die Lasten </w:t>
      </w:r>
      <w:r w:rsidR="00836560">
        <w:rPr>
          <w:lang w:val="de-DE"/>
        </w:rPr>
        <w:t>des</w:t>
      </w:r>
      <w:r w:rsidR="00447FD4" w:rsidRPr="00B222B4">
        <w:rPr>
          <w:lang w:val="de-DE"/>
        </w:rPr>
        <w:t xml:space="preserve"> demografischen </w:t>
      </w:r>
      <w:r w:rsidR="00836560">
        <w:rPr>
          <w:lang w:val="de-DE"/>
        </w:rPr>
        <w:t xml:space="preserve">Wandels </w:t>
      </w:r>
      <w:r w:rsidR="00447FD4" w:rsidRPr="00B222B4">
        <w:rPr>
          <w:lang w:val="de-DE"/>
        </w:rPr>
        <w:t xml:space="preserve">gleichmäßiger und </w:t>
      </w:r>
      <w:r w:rsidR="002E50D5">
        <w:rPr>
          <w:lang w:val="de-DE"/>
        </w:rPr>
        <w:t xml:space="preserve">generationengerecht </w:t>
      </w:r>
      <w:r w:rsidR="002E50D5">
        <w:rPr>
          <w:lang w:val="de-DE"/>
        </w:rPr>
        <w:lastRenderedPageBreak/>
        <w:t xml:space="preserve">zu verteilen. </w:t>
      </w:r>
      <w:r w:rsidR="004B22E9">
        <w:rPr>
          <w:lang w:val="de-DE"/>
        </w:rPr>
        <w:t>Eine Anhebung der Regelaltersgrenze über das derzeitige 67</w:t>
      </w:r>
      <w:r w:rsidR="00DB43A7">
        <w:rPr>
          <w:lang w:val="de-DE"/>
        </w:rPr>
        <w:t>. </w:t>
      </w:r>
      <w:r w:rsidR="004B22E9">
        <w:rPr>
          <w:lang w:val="de-DE"/>
        </w:rPr>
        <w:t>Lebensjahr hinaus ist</w:t>
      </w:r>
      <w:r w:rsidR="00871168">
        <w:rPr>
          <w:lang w:val="de-DE"/>
        </w:rPr>
        <w:t xml:space="preserve"> in Anbetracht einer </w:t>
      </w:r>
      <w:r w:rsidR="00836560">
        <w:rPr>
          <w:lang w:val="de-DE"/>
        </w:rPr>
        <w:t>kontinuierlich</w:t>
      </w:r>
      <w:r w:rsidR="00871168">
        <w:rPr>
          <w:lang w:val="de-DE"/>
        </w:rPr>
        <w:t xml:space="preserve"> steigenden Lebenserwartung</w:t>
      </w:r>
      <w:r w:rsidR="004B22E9">
        <w:rPr>
          <w:lang w:val="de-DE"/>
        </w:rPr>
        <w:t xml:space="preserve"> ebenfalls zu diskutieren</w:t>
      </w:r>
      <w:r w:rsidR="00ED30C7">
        <w:rPr>
          <w:lang w:val="de-DE"/>
        </w:rPr>
        <w:t xml:space="preserve">. </w:t>
      </w:r>
    </w:p>
    <w:p w14:paraId="462FBC70" w14:textId="77777777" w:rsidR="00E40B7D" w:rsidRDefault="00E40B7D" w:rsidP="00B93E87">
      <w:pPr>
        <w:spacing w:after="0" w:line="240" w:lineRule="auto"/>
        <w:rPr>
          <w:lang w:val="de-DE"/>
        </w:rPr>
      </w:pPr>
    </w:p>
    <w:p w14:paraId="305CF040" w14:textId="77777777" w:rsidR="00480619" w:rsidRDefault="004B22E9" w:rsidP="00D03D49">
      <w:pPr>
        <w:spacing w:after="0" w:line="240" w:lineRule="auto"/>
        <w:jc w:val="both"/>
        <w:rPr>
          <w:lang w:val="de-DE"/>
        </w:rPr>
      </w:pPr>
      <w:r>
        <w:rPr>
          <w:lang w:val="de-DE"/>
        </w:rPr>
        <w:t xml:space="preserve">Auch </w:t>
      </w:r>
      <w:r w:rsidR="00836560">
        <w:rPr>
          <w:lang w:val="de-DE"/>
        </w:rPr>
        <w:t>nach</w:t>
      </w:r>
      <w:r>
        <w:rPr>
          <w:lang w:val="de-DE"/>
        </w:rPr>
        <w:t xml:space="preserve"> Einführung der sog. Flexi-Rente w</w:t>
      </w:r>
      <w:r w:rsidR="001E4090">
        <w:rPr>
          <w:lang w:val="de-DE"/>
        </w:rPr>
        <w:t>ird</w:t>
      </w:r>
      <w:r w:rsidR="00E42CC7">
        <w:rPr>
          <w:lang w:val="de-DE"/>
        </w:rPr>
        <w:t xml:space="preserve"> sich nur ein gewisser Kreis </w:t>
      </w:r>
      <w:r>
        <w:rPr>
          <w:lang w:val="de-DE"/>
        </w:rPr>
        <w:t xml:space="preserve">der Bevölkerung eine flexible Teilrente leisten können. </w:t>
      </w:r>
      <w:r w:rsidR="00480619">
        <w:rPr>
          <w:lang w:val="de-DE"/>
        </w:rPr>
        <w:t xml:space="preserve">Nichtsdestotrotz ist es zu begrüßen, dass </w:t>
      </w:r>
      <w:r w:rsidR="00D03D49">
        <w:rPr>
          <w:lang w:val="de-DE"/>
        </w:rPr>
        <w:t xml:space="preserve">die neue Bundesregierung </w:t>
      </w:r>
      <w:r w:rsidR="00480619">
        <w:rPr>
          <w:lang w:val="de-DE"/>
        </w:rPr>
        <w:t xml:space="preserve">das Arbeiten über die Regelaltersgrenze hinaus </w:t>
      </w:r>
      <w:r w:rsidR="00D03D49">
        <w:rPr>
          <w:lang w:val="de-DE"/>
        </w:rPr>
        <w:t>weiter attraktiver ausgestalten will.</w:t>
      </w:r>
      <w:r w:rsidR="00480619">
        <w:rPr>
          <w:lang w:val="de-DE"/>
        </w:rPr>
        <w:t xml:space="preserve"> </w:t>
      </w:r>
    </w:p>
    <w:p w14:paraId="78799FBD" w14:textId="77777777" w:rsidR="00480619" w:rsidRDefault="00480619" w:rsidP="00D03D49">
      <w:pPr>
        <w:spacing w:after="0" w:line="240" w:lineRule="auto"/>
        <w:jc w:val="both"/>
        <w:rPr>
          <w:lang w:val="de-DE"/>
        </w:rPr>
      </w:pPr>
    </w:p>
    <w:p w14:paraId="6CF2035A" w14:textId="4F04A431" w:rsidR="004B22E9" w:rsidRDefault="001E4090" w:rsidP="00D03D49">
      <w:pPr>
        <w:spacing w:after="0" w:line="240" w:lineRule="auto"/>
        <w:jc w:val="both"/>
        <w:rPr>
          <w:lang w:val="de-DE"/>
        </w:rPr>
      </w:pPr>
      <w:r>
        <w:rPr>
          <w:lang w:val="de-DE"/>
        </w:rPr>
        <w:t>Eine Erhöhung der</w:t>
      </w:r>
      <w:r w:rsidR="004B22E9">
        <w:rPr>
          <w:lang w:val="de-DE"/>
        </w:rPr>
        <w:t xml:space="preserve"> Beiträge </w:t>
      </w:r>
      <w:r>
        <w:rPr>
          <w:lang w:val="de-DE"/>
        </w:rPr>
        <w:t>zur</w:t>
      </w:r>
      <w:r w:rsidR="004B22E9">
        <w:rPr>
          <w:lang w:val="de-DE"/>
        </w:rPr>
        <w:t xml:space="preserve"> gesetzliche</w:t>
      </w:r>
      <w:r>
        <w:rPr>
          <w:lang w:val="de-DE"/>
        </w:rPr>
        <w:t>n</w:t>
      </w:r>
      <w:r w:rsidR="004B22E9">
        <w:rPr>
          <w:lang w:val="de-DE"/>
        </w:rPr>
        <w:t xml:space="preserve"> Rentenversicherung </w:t>
      </w:r>
      <w:r w:rsidR="00841814">
        <w:rPr>
          <w:lang w:val="de-DE"/>
        </w:rPr>
        <w:t>stellt kein</w:t>
      </w:r>
      <w:r>
        <w:rPr>
          <w:lang w:val="de-DE"/>
        </w:rPr>
        <w:t xml:space="preserve"> </w:t>
      </w:r>
      <w:r w:rsidR="004B22E9">
        <w:rPr>
          <w:lang w:val="de-DE"/>
        </w:rPr>
        <w:t>geeignete</w:t>
      </w:r>
      <w:r w:rsidR="00841814">
        <w:rPr>
          <w:lang w:val="de-DE"/>
        </w:rPr>
        <w:t>s</w:t>
      </w:r>
      <w:r w:rsidR="004B22E9">
        <w:rPr>
          <w:lang w:val="de-DE"/>
        </w:rPr>
        <w:t xml:space="preserve"> </w:t>
      </w:r>
      <w:r w:rsidR="00841814">
        <w:rPr>
          <w:lang w:val="de-DE"/>
        </w:rPr>
        <w:t>Mittel</w:t>
      </w:r>
      <w:r w:rsidR="004B22E9">
        <w:rPr>
          <w:lang w:val="de-DE"/>
        </w:rPr>
        <w:t xml:space="preserve"> für</w:t>
      </w:r>
      <w:r w:rsidR="00841814">
        <w:rPr>
          <w:lang w:val="de-DE"/>
        </w:rPr>
        <w:t xml:space="preserve"> eine</w:t>
      </w:r>
      <w:r w:rsidR="004B22E9">
        <w:rPr>
          <w:lang w:val="de-DE"/>
        </w:rPr>
        <w:t xml:space="preserve"> zusätzlich</w:t>
      </w:r>
      <w:r w:rsidR="00841814">
        <w:rPr>
          <w:lang w:val="de-DE"/>
        </w:rPr>
        <w:t>e</w:t>
      </w:r>
      <w:r w:rsidR="004B22E9">
        <w:rPr>
          <w:lang w:val="de-DE"/>
        </w:rPr>
        <w:t xml:space="preserve"> </w:t>
      </w:r>
      <w:r w:rsidR="00841814">
        <w:rPr>
          <w:lang w:val="de-DE"/>
        </w:rPr>
        <w:t>finanzielle Absicherung im Alter dar.</w:t>
      </w:r>
      <w:r w:rsidR="00836560">
        <w:rPr>
          <w:lang w:val="de-DE"/>
        </w:rPr>
        <w:t xml:space="preserve"> </w:t>
      </w:r>
      <w:r w:rsidR="00D03D49">
        <w:rPr>
          <w:lang w:val="de-DE"/>
        </w:rPr>
        <w:t xml:space="preserve">Der geplante Kaptalstock in Höhe von 10 Mrd. </w:t>
      </w:r>
      <w:r w:rsidR="007A306C">
        <w:rPr>
          <w:lang w:val="de-DE"/>
        </w:rPr>
        <w:t xml:space="preserve">Euro wäre zum einen nicht ansatzweise ausreichend, </w:t>
      </w:r>
      <w:r w:rsidR="007D6D8B">
        <w:rPr>
          <w:lang w:val="de-DE"/>
        </w:rPr>
        <w:t>ein sinnhafter Beitrag</w:t>
      </w:r>
      <w:r w:rsidR="007A306C">
        <w:rPr>
          <w:lang w:val="de-DE"/>
        </w:rPr>
        <w:t xml:space="preserve"> zu einer beitragsstabilen Grundabsicherung zu leisten. Vielmehr würde er die umlagefinanzierten Säule 1 in eine „Mischform“ überführen. </w:t>
      </w:r>
      <w:r w:rsidR="00836560">
        <w:rPr>
          <w:lang w:val="de-DE"/>
        </w:rPr>
        <w:t xml:space="preserve">Auch </w:t>
      </w:r>
      <w:r w:rsidR="007A306C">
        <w:rPr>
          <w:lang w:val="de-DE"/>
        </w:rPr>
        <w:t xml:space="preserve">die Möglichkeit zur </w:t>
      </w:r>
      <w:r w:rsidR="00836560">
        <w:rPr>
          <w:lang w:val="de-DE"/>
        </w:rPr>
        <w:t xml:space="preserve">Arbeit </w:t>
      </w:r>
      <w:r w:rsidR="007A306C">
        <w:rPr>
          <w:lang w:val="de-DE"/>
        </w:rPr>
        <w:t xml:space="preserve">und damit weiteren Beitragszahlung </w:t>
      </w:r>
      <w:r w:rsidR="00836560">
        <w:rPr>
          <w:lang w:val="de-DE"/>
        </w:rPr>
        <w:t xml:space="preserve">im Rentenalter </w:t>
      </w:r>
      <w:r w:rsidR="007A306C">
        <w:rPr>
          <w:lang w:val="de-DE"/>
        </w:rPr>
        <w:t xml:space="preserve">kann </w:t>
      </w:r>
      <w:r w:rsidR="00836560">
        <w:rPr>
          <w:lang w:val="de-DE"/>
        </w:rPr>
        <w:t xml:space="preserve">nur </w:t>
      </w:r>
      <w:r w:rsidR="007A306C">
        <w:rPr>
          <w:lang w:val="de-DE"/>
        </w:rPr>
        <w:t>zu einem</w:t>
      </w:r>
      <w:r w:rsidR="00836560">
        <w:rPr>
          <w:lang w:val="de-DE"/>
        </w:rPr>
        <w:t xml:space="preserve"> kleinen Beitrag zur Altersabsicherung </w:t>
      </w:r>
      <w:r w:rsidR="007A306C">
        <w:rPr>
          <w:lang w:val="de-DE"/>
        </w:rPr>
        <w:t>leisten</w:t>
      </w:r>
      <w:r w:rsidR="00836560">
        <w:rPr>
          <w:lang w:val="de-DE"/>
        </w:rPr>
        <w:t>.</w:t>
      </w:r>
      <w:r w:rsidR="00871168">
        <w:rPr>
          <w:lang w:val="de-DE"/>
        </w:rPr>
        <w:t xml:space="preserve"> </w:t>
      </w:r>
      <w:r w:rsidR="007A306C">
        <w:rPr>
          <w:lang w:val="de-DE"/>
        </w:rPr>
        <w:t>Eine stabile Vorsorge</w:t>
      </w:r>
      <w:r w:rsidR="00871168">
        <w:rPr>
          <w:lang w:val="de-DE"/>
        </w:rPr>
        <w:t xml:space="preserve"> kann nur über einen </w:t>
      </w:r>
      <w:r w:rsidR="007A306C">
        <w:rPr>
          <w:lang w:val="de-DE"/>
        </w:rPr>
        <w:t xml:space="preserve">weiteren </w:t>
      </w:r>
      <w:r w:rsidR="00871168">
        <w:rPr>
          <w:lang w:val="de-DE"/>
        </w:rPr>
        <w:t xml:space="preserve">Ausbau der betrieblichen und privaten Vorsorge erreicht werden. </w:t>
      </w:r>
    </w:p>
    <w:p w14:paraId="1B7790E7" w14:textId="77777777" w:rsidR="00E40B7D" w:rsidRDefault="00E40B7D" w:rsidP="00D03D49">
      <w:pPr>
        <w:spacing w:after="0" w:line="240" w:lineRule="auto"/>
        <w:jc w:val="both"/>
        <w:rPr>
          <w:lang w:val="de-DE"/>
        </w:rPr>
      </w:pPr>
    </w:p>
    <w:p w14:paraId="54FEB579" w14:textId="77777777" w:rsidR="00726376" w:rsidRDefault="00726376" w:rsidP="007A306C">
      <w:pPr>
        <w:spacing w:after="0" w:line="240" w:lineRule="auto"/>
        <w:jc w:val="both"/>
        <w:rPr>
          <w:lang w:val="de-DE"/>
        </w:rPr>
      </w:pPr>
      <w:r>
        <w:rPr>
          <w:lang w:val="de-DE"/>
        </w:rPr>
        <w:t xml:space="preserve">Insbesondere sind folgende Maßnahmen notwendig, um die </w:t>
      </w:r>
      <w:r w:rsidR="005B4869">
        <w:rPr>
          <w:lang w:val="de-DE"/>
        </w:rPr>
        <w:t xml:space="preserve">betriebliche und </w:t>
      </w:r>
      <w:r w:rsidR="007A1EF7">
        <w:rPr>
          <w:lang w:val="de-DE"/>
        </w:rPr>
        <w:t xml:space="preserve">private </w:t>
      </w:r>
      <w:r>
        <w:rPr>
          <w:lang w:val="de-DE"/>
        </w:rPr>
        <w:t>Alters</w:t>
      </w:r>
      <w:r w:rsidR="00841814">
        <w:rPr>
          <w:lang w:val="de-DE"/>
        </w:rPr>
        <w:t>vorso</w:t>
      </w:r>
      <w:r w:rsidR="00871168">
        <w:rPr>
          <w:lang w:val="de-DE"/>
        </w:rPr>
        <w:t>r</w:t>
      </w:r>
      <w:r w:rsidR="00841814">
        <w:rPr>
          <w:lang w:val="de-DE"/>
        </w:rPr>
        <w:t>ge</w:t>
      </w:r>
      <w:r>
        <w:rPr>
          <w:lang w:val="de-DE"/>
        </w:rPr>
        <w:t xml:space="preserve"> tragfähig zu gestalten:</w:t>
      </w:r>
    </w:p>
    <w:p w14:paraId="4A84CEB4" w14:textId="77777777" w:rsidR="007A306C" w:rsidRDefault="007A306C" w:rsidP="007A306C">
      <w:pPr>
        <w:spacing w:after="0" w:line="240" w:lineRule="auto"/>
        <w:jc w:val="both"/>
        <w:rPr>
          <w:lang w:val="de-DE"/>
        </w:rPr>
      </w:pPr>
    </w:p>
    <w:p w14:paraId="63FAB0DF" w14:textId="77777777" w:rsidR="008A27BE" w:rsidRDefault="008A27BE" w:rsidP="007A306C">
      <w:pPr>
        <w:pStyle w:val="Listenabsatz"/>
        <w:numPr>
          <w:ilvl w:val="0"/>
          <w:numId w:val="1"/>
        </w:numPr>
        <w:spacing w:after="0" w:line="240" w:lineRule="auto"/>
        <w:jc w:val="both"/>
        <w:rPr>
          <w:lang w:val="de-DE"/>
        </w:rPr>
      </w:pPr>
      <w:r>
        <w:rPr>
          <w:lang w:val="de-DE"/>
        </w:rPr>
        <w:t>Reine Beitragszusagen</w:t>
      </w:r>
      <w:r w:rsidR="007A298A">
        <w:rPr>
          <w:lang w:val="de-DE"/>
        </w:rPr>
        <w:t xml:space="preserve"> </w:t>
      </w:r>
      <w:r>
        <w:rPr>
          <w:lang w:val="de-DE"/>
        </w:rPr>
        <w:t>auch für nicht tarifgebundene und nicht mitbestimmte Betriebe ermöglichen</w:t>
      </w:r>
    </w:p>
    <w:p w14:paraId="236040EB" w14:textId="77777777" w:rsidR="00726376" w:rsidRPr="00726376" w:rsidRDefault="00726376" w:rsidP="007A306C">
      <w:pPr>
        <w:pStyle w:val="Listenabsatz"/>
        <w:numPr>
          <w:ilvl w:val="0"/>
          <w:numId w:val="1"/>
        </w:numPr>
        <w:spacing w:after="0" w:line="240" w:lineRule="auto"/>
        <w:jc w:val="both"/>
        <w:rPr>
          <w:lang w:val="de-DE"/>
        </w:rPr>
      </w:pPr>
      <w:r>
        <w:rPr>
          <w:lang w:val="de-DE"/>
        </w:rPr>
        <w:t>E</w:t>
      </w:r>
      <w:r w:rsidRPr="00726376">
        <w:rPr>
          <w:lang w:val="de-DE"/>
        </w:rPr>
        <w:t xml:space="preserve">infachere Verfahren </w:t>
      </w:r>
      <w:r w:rsidR="00AC53BB" w:rsidRPr="00726376">
        <w:rPr>
          <w:lang w:val="de-DE"/>
        </w:rPr>
        <w:t>entwickel</w:t>
      </w:r>
      <w:r w:rsidR="00AC53BB">
        <w:rPr>
          <w:lang w:val="de-DE"/>
        </w:rPr>
        <w:t>n</w:t>
      </w:r>
      <w:r w:rsidR="00AC53BB" w:rsidRPr="00726376">
        <w:rPr>
          <w:lang w:val="de-DE"/>
        </w:rPr>
        <w:t xml:space="preserve"> </w:t>
      </w:r>
    </w:p>
    <w:p w14:paraId="3EA72C0C" w14:textId="77777777" w:rsidR="00726376" w:rsidRPr="00726376" w:rsidRDefault="00726376" w:rsidP="007A306C">
      <w:pPr>
        <w:pStyle w:val="Listenabsatz"/>
        <w:numPr>
          <w:ilvl w:val="0"/>
          <w:numId w:val="1"/>
        </w:numPr>
        <w:spacing w:after="0" w:line="240" w:lineRule="auto"/>
        <w:jc w:val="both"/>
        <w:rPr>
          <w:lang w:val="de-DE"/>
        </w:rPr>
      </w:pPr>
      <w:r w:rsidRPr="00726376">
        <w:rPr>
          <w:lang w:val="de-DE"/>
        </w:rPr>
        <w:t>Mehr Transparenz über Leistungen und Beiträge</w:t>
      </w:r>
    </w:p>
    <w:p w14:paraId="2E519670" w14:textId="77777777" w:rsidR="00726376" w:rsidRPr="00726376" w:rsidRDefault="00726376" w:rsidP="007A306C">
      <w:pPr>
        <w:pStyle w:val="Listenabsatz"/>
        <w:numPr>
          <w:ilvl w:val="0"/>
          <w:numId w:val="1"/>
        </w:numPr>
        <w:spacing w:after="0" w:line="240" w:lineRule="auto"/>
        <w:jc w:val="both"/>
        <w:rPr>
          <w:lang w:val="de-DE"/>
        </w:rPr>
      </w:pPr>
      <w:r w:rsidRPr="00726376">
        <w:rPr>
          <w:lang w:val="de-DE"/>
        </w:rPr>
        <w:t>Adäquate Förderung durch den Staat für Geringverdiener</w:t>
      </w:r>
    </w:p>
    <w:p w14:paraId="0B050482" w14:textId="77777777" w:rsidR="00726376" w:rsidRDefault="00726376" w:rsidP="007A306C">
      <w:pPr>
        <w:spacing w:after="0" w:line="240" w:lineRule="auto"/>
        <w:jc w:val="both"/>
        <w:rPr>
          <w:lang w:val="de-DE"/>
        </w:rPr>
      </w:pPr>
    </w:p>
    <w:p w14:paraId="12B90EC4" w14:textId="77777777" w:rsidR="00211DD3" w:rsidRDefault="00211DD3" w:rsidP="00B93E87">
      <w:pPr>
        <w:spacing w:after="0" w:line="240" w:lineRule="auto"/>
        <w:rPr>
          <w:lang w:val="de-DE"/>
        </w:rPr>
      </w:pPr>
    </w:p>
    <w:p w14:paraId="60782A67" w14:textId="77777777" w:rsidR="00211DD3" w:rsidRDefault="00211DD3" w:rsidP="00B93E87">
      <w:pPr>
        <w:spacing w:after="0" w:line="240" w:lineRule="auto"/>
        <w:rPr>
          <w:lang w:val="de-DE"/>
        </w:rPr>
      </w:pPr>
    </w:p>
    <w:p w14:paraId="7CFF89E8" w14:textId="77777777" w:rsidR="00B93E87" w:rsidRDefault="00B93E87" w:rsidP="00C8589D">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Position der fpmi</w:t>
      </w:r>
    </w:p>
    <w:p w14:paraId="725A76F9" w14:textId="77777777" w:rsidR="00AB71E7" w:rsidRDefault="00AB71E7" w:rsidP="00AB71E7">
      <w:pPr>
        <w:spacing w:after="0" w:line="240" w:lineRule="auto"/>
        <w:rPr>
          <w:lang w:val="de-DE"/>
        </w:rPr>
      </w:pPr>
    </w:p>
    <w:p w14:paraId="13932BAA" w14:textId="77777777" w:rsidR="00F05416" w:rsidRDefault="00203DCE" w:rsidP="007A306C">
      <w:pPr>
        <w:spacing w:after="0" w:line="240" w:lineRule="auto"/>
        <w:jc w:val="both"/>
        <w:rPr>
          <w:lang w:val="de-DE"/>
        </w:rPr>
      </w:pPr>
      <w:r>
        <w:rPr>
          <w:lang w:val="de-DE"/>
        </w:rPr>
        <w:t xml:space="preserve">Die </w:t>
      </w:r>
      <w:r w:rsidR="00AB71E7">
        <w:rPr>
          <w:lang w:val="de-DE"/>
        </w:rPr>
        <w:t xml:space="preserve">fpmi </w:t>
      </w:r>
      <w:r>
        <w:rPr>
          <w:lang w:val="de-DE"/>
        </w:rPr>
        <w:t>ist der festen Überzeugung</w:t>
      </w:r>
      <w:r w:rsidR="007A306C">
        <w:rPr>
          <w:rStyle w:val="Funotenzeichen"/>
          <w:lang w:val="de-DE"/>
        </w:rPr>
        <w:footnoteReference w:id="3"/>
      </w:r>
      <w:r w:rsidR="00AB71E7">
        <w:rPr>
          <w:lang w:val="de-DE"/>
        </w:rPr>
        <w:t xml:space="preserve">, dass </w:t>
      </w:r>
      <w:r>
        <w:rPr>
          <w:lang w:val="de-DE"/>
        </w:rPr>
        <w:t>eine wesentliche Förderung der</w:t>
      </w:r>
      <w:r w:rsidR="007E512E">
        <w:rPr>
          <w:lang w:val="de-DE"/>
        </w:rPr>
        <w:t xml:space="preserve"> Sparbereitschaft in</w:t>
      </w:r>
      <w:r>
        <w:rPr>
          <w:lang w:val="de-DE"/>
        </w:rPr>
        <w:t xml:space="preserve"> weiten</w:t>
      </w:r>
      <w:r w:rsidR="007E512E">
        <w:rPr>
          <w:lang w:val="de-DE"/>
        </w:rPr>
        <w:t xml:space="preserve"> Teilen der Bevölkerung </w:t>
      </w:r>
      <w:r>
        <w:rPr>
          <w:lang w:val="de-DE"/>
        </w:rPr>
        <w:t>durch</w:t>
      </w:r>
      <w:r w:rsidR="007E512E">
        <w:rPr>
          <w:lang w:val="de-DE"/>
        </w:rPr>
        <w:t xml:space="preserve"> weitere </w:t>
      </w:r>
      <w:r w:rsidR="007E512E" w:rsidRPr="0010010C">
        <w:rPr>
          <w:b/>
          <w:lang w:val="de-DE"/>
        </w:rPr>
        <w:t>staatliche Förderungen</w:t>
      </w:r>
      <w:r w:rsidR="00F05416">
        <w:rPr>
          <w:lang w:val="de-DE"/>
        </w:rPr>
        <w:t xml:space="preserve"> </w:t>
      </w:r>
      <w:r w:rsidR="007A306C">
        <w:rPr>
          <w:lang w:val="de-DE"/>
        </w:rPr>
        <w:t xml:space="preserve">vor allem für Bezieher niedriger Einkommen </w:t>
      </w:r>
      <w:r w:rsidR="00F05416">
        <w:rPr>
          <w:lang w:val="de-DE"/>
        </w:rPr>
        <w:t xml:space="preserve">und </w:t>
      </w:r>
      <w:r w:rsidR="00F05416" w:rsidRPr="0010010C">
        <w:rPr>
          <w:b/>
          <w:lang w:val="de-DE"/>
        </w:rPr>
        <w:t>angemessene Freibeträge</w:t>
      </w:r>
      <w:r w:rsidR="00F05416">
        <w:rPr>
          <w:lang w:val="de-DE"/>
        </w:rPr>
        <w:t xml:space="preserve"> bei der Anrechnung von Leistungen auf die Grundsicherung</w:t>
      </w:r>
      <w:r w:rsidR="007E512E">
        <w:rPr>
          <w:lang w:val="de-DE"/>
        </w:rPr>
        <w:t xml:space="preserve"> </w:t>
      </w:r>
      <w:r>
        <w:rPr>
          <w:lang w:val="de-DE"/>
        </w:rPr>
        <w:t>erreicht werden kann</w:t>
      </w:r>
      <w:r w:rsidR="007E512E">
        <w:rPr>
          <w:lang w:val="de-DE"/>
        </w:rPr>
        <w:t xml:space="preserve">. </w:t>
      </w:r>
    </w:p>
    <w:p w14:paraId="0FFEE051" w14:textId="77777777" w:rsidR="00F05416" w:rsidRDefault="00F05416" w:rsidP="007A306C">
      <w:pPr>
        <w:spacing w:after="0" w:line="240" w:lineRule="auto"/>
        <w:jc w:val="both"/>
        <w:rPr>
          <w:lang w:val="de-DE"/>
        </w:rPr>
      </w:pPr>
    </w:p>
    <w:p w14:paraId="3FF048CF" w14:textId="77777777" w:rsidR="002E4E59" w:rsidRDefault="006308B9" w:rsidP="007A306C">
      <w:pPr>
        <w:spacing w:after="0" w:line="240" w:lineRule="auto"/>
        <w:jc w:val="both"/>
        <w:rPr>
          <w:lang w:val="de-DE"/>
        </w:rPr>
      </w:pPr>
      <w:r>
        <w:rPr>
          <w:lang w:val="de-DE"/>
        </w:rPr>
        <w:t xml:space="preserve">Möchte man sein Ziel einer stärkeren Verbreitung der bAV allerdings wirklich erreichen, so ist es unbedingt erforderlich </w:t>
      </w:r>
      <w:r w:rsidR="002E4E59">
        <w:rPr>
          <w:lang w:val="de-DE"/>
        </w:rPr>
        <w:t>die Doppelverbeitragung in der bAV</w:t>
      </w:r>
      <w:r w:rsidR="00B93693">
        <w:rPr>
          <w:lang w:val="de-DE"/>
        </w:rPr>
        <w:t xml:space="preserve"> zu beenden</w:t>
      </w:r>
      <w:r w:rsidR="002E4E59">
        <w:rPr>
          <w:lang w:val="de-DE"/>
        </w:rPr>
        <w:t xml:space="preserve">, also </w:t>
      </w:r>
      <w:r w:rsidR="00F05416">
        <w:rPr>
          <w:lang w:val="de-DE"/>
        </w:rPr>
        <w:t>die Rücknahme der im Jahr 2004 eingeführten vollen Verbeitragung der bAV-Leistungen zur Kranken- und Pflegeversicherung</w:t>
      </w:r>
      <w:r w:rsidR="002E4E59">
        <w:rPr>
          <w:lang w:val="de-DE"/>
        </w:rPr>
        <w:t xml:space="preserve">. </w:t>
      </w:r>
    </w:p>
    <w:p w14:paraId="00260EAF" w14:textId="77777777" w:rsidR="00AB71E7" w:rsidRDefault="007A306C" w:rsidP="007A306C">
      <w:pPr>
        <w:spacing w:after="0" w:line="240" w:lineRule="auto"/>
        <w:jc w:val="both"/>
        <w:rPr>
          <w:lang w:val="de-DE"/>
        </w:rPr>
      </w:pPr>
      <w:r>
        <w:rPr>
          <w:lang w:val="de-DE"/>
        </w:rPr>
        <w:t>Die nun bevorstehende, von der fpmi in der Verg</w:t>
      </w:r>
      <w:r w:rsidR="0056516B">
        <w:rPr>
          <w:lang w:val="de-DE"/>
        </w:rPr>
        <w:t xml:space="preserve">angenheit regelmäßig geforderte, </w:t>
      </w:r>
      <w:r w:rsidR="00EF3721">
        <w:rPr>
          <w:lang w:val="de-DE"/>
        </w:rPr>
        <w:t xml:space="preserve">alle drei Säulen umfassende Renteninformation </w:t>
      </w:r>
      <w:r w:rsidR="0056516B">
        <w:rPr>
          <w:lang w:val="de-DE"/>
        </w:rPr>
        <w:t>wird für</w:t>
      </w:r>
      <w:r w:rsidR="00EF3721">
        <w:rPr>
          <w:lang w:val="de-DE"/>
        </w:rPr>
        <w:t xml:space="preserve"> mehr Transparenz</w:t>
      </w:r>
      <w:r w:rsidR="0056516B">
        <w:rPr>
          <w:lang w:val="de-DE"/>
        </w:rPr>
        <w:t xml:space="preserve"> sorgen</w:t>
      </w:r>
      <w:r w:rsidR="00EF3721">
        <w:rPr>
          <w:lang w:val="de-DE"/>
        </w:rPr>
        <w:t xml:space="preserve"> und </w:t>
      </w:r>
      <w:r w:rsidR="0056516B">
        <w:rPr>
          <w:lang w:val="de-DE"/>
        </w:rPr>
        <w:t xml:space="preserve">weitere </w:t>
      </w:r>
      <w:r w:rsidR="00EF3721">
        <w:rPr>
          <w:lang w:val="de-DE"/>
        </w:rPr>
        <w:t xml:space="preserve">Sensibilität zur </w:t>
      </w:r>
      <w:r w:rsidR="0056516B">
        <w:rPr>
          <w:lang w:val="de-DE"/>
        </w:rPr>
        <w:t xml:space="preserve">individuellem </w:t>
      </w:r>
      <w:r w:rsidR="00EF3721">
        <w:rPr>
          <w:lang w:val="de-DE"/>
        </w:rPr>
        <w:t>Altersvorsorge sicherstellen.</w:t>
      </w:r>
      <w:r w:rsidR="00B54B7E">
        <w:rPr>
          <w:lang w:val="de-DE"/>
        </w:rPr>
        <w:t xml:space="preserve"> </w:t>
      </w:r>
      <w:r w:rsidR="00EF3721">
        <w:rPr>
          <w:lang w:val="de-DE"/>
        </w:rPr>
        <w:t>Diese</w:t>
      </w:r>
      <w:r w:rsidR="00B54B7E">
        <w:rPr>
          <w:lang w:val="de-DE"/>
        </w:rPr>
        <w:t xml:space="preserve"> Renteninformation </w:t>
      </w:r>
      <w:r w:rsidR="00EF3721">
        <w:rPr>
          <w:lang w:val="de-DE"/>
        </w:rPr>
        <w:t xml:space="preserve">muss dabei auch zur </w:t>
      </w:r>
      <w:r w:rsidR="00DB43A7">
        <w:rPr>
          <w:lang w:val="de-DE"/>
        </w:rPr>
        <w:t>nachgelagerte</w:t>
      </w:r>
      <w:r w:rsidR="00B54B7E">
        <w:rPr>
          <w:lang w:val="de-DE"/>
        </w:rPr>
        <w:t xml:space="preserve"> Besteuerung von Renten </w:t>
      </w:r>
      <w:r w:rsidR="00EF3721">
        <w:rPr>
          <w:lang w:val="de-DE"/>
        </w:rPr>
        <w:t xml:space="preserve">und die Höhe zu entrichtender Sozialabgaben </w:t>
      </w:r>
      <w:r w:rsidR="00B54B7E">
        <w:rPr>
          <w:lang w:val="de-DE"/>
        </w:rPr>
        <w:t>informieren (Vermeidung einer Vorsorgeillusion)</w:t>
      </w:r>
      <w:r w:rsidR="00AB71E7">
        <w:rPr>
          <w:lang w:val="de-DE"/>
        </w:rPr>
        <w:t xml:space="preserve"> </w:t>
      </w:r>
    </w:p>
    <w:p w14:paraId="4F0E0F1D" w14:textId="77777777" w:rsidR="00B86E33" w:rsidRDefault="00B86E33" w:rsidP="007A306C">
      <w:pPr>
        <w:spacing w:after="0" w:line="240" w:lineRule="auto"/>
        <w:jc w:val="both"/>
        <w:rPr>
          <w:lang w:val="de-DE"/>
        </w:rPr>
      </w:pPr>
    </w:p>
    <w:p w14:paraId="6966A693" w14:textId="48A91430" w:rsidR="00B86E33" w:rsidRDefault="00C546F3" w:rsidP="007A306C">
      <w:pPr>
        <w:spacing w:after="0" w:line="240" w:lineRule="auto"/>
        <w:jc w:val="both"/>
        <w:rPr>
          <w:lang w:val="de-DE"/>
        </w:rPr>
      </w:pPr>
      <w:r>
        <w:rPr>
          <w:lang w:val="de-DE"/>
        </w:rPr>
        <w:t xml:space="preserve">Der steuerliche </w:t>
      </w:r>
      <w:r w:rsidR="0056516B">
        <w:rPr>
          <w:lang w:val="de-DE"/>
        </w:rPr>
        <w:t xml:space="preserve">Rechnungszins </w:t>
      </w:r>
      <w:r>
        <w:rPr>
          <w:lang w:val="de-DE"/>
        </w:rPr>
        <w:t>für die Bewertung von Pensionsrückstellungen</w:t>
      </w:r>
      <w:r w:rsidR="00A836EC">
        <w:rPr>
          <w:lang w:val="de-DE"/>
        </w:rPr>
        <w:t xml:space="preserve"> </w:t>
      </w:r>
      <w:r w:rsidR="00A836EC" w:rsidRPr="00A836EC">
        <w:rPr>
          <w:lang w:val="de-DE"/>
        </w:rPr>
        <w:t>muss auf ein realistisches Niveau gesenkt werden und am besten in Abhängigkeit von einer geeigneten Bezugsgröße jährlich adjustiert werden.</w:t>
      </w:r>
      <w:r>
        <w:rPr>
          <w:lang w:val="de-DE"/>
        </w:rPr>
        <w:t xml:space="preserve"> </w:t>
      </w:r>
    </w:p>
    <w:p w14:paraId="221131DE" w14:textId="77777777" w:rsidR="00B86E33" w:rsidRDefault="00B86E33" w:rsidP="007A306C">
      <w:pPr>
        <w:spacing w:after="0" w:line="240" w:lineRule="auto"/>
        <w:jc w:val="both"/>
        <w:rPr>
          <w:lang w:val="de-DE"/>
        </w:rPr>
      </w:pPr>
    </w:p>
    <w:p w14:paraId="08B2CAAC" w14:textId="77777777" w:rsidR="00B86E33" w:rsidRPr="00670F43" w:rsidRDefault="00B86E33" w:rsidP="007A306C">
      <w:pPr>
        <w:spacing w:after="0" w:line="240" w:lineRule="auto"/>
        <w:jc w:val="both"/>
        <w:rPr>
          <w:lang w:val="de-DE"/>
        </w:rPr>
      </w:pPr>
      <w:r w:rsidRPr="00670F43">
        <w:rPr>
          <w:lang w:val="de-DE"/>
        </w:rPr>
        <w:t xml:space="preserve">Während sich der Rechnungszins in der Handelsbilanz – zwar mit zeitlichem Verzug – eher an der tatsächlichen Zinsentwicklung orientiert, ist in der Steuerbilanz </w:t>
      </w:r>
      <w:r>
        <w:rPr>
          <w:lang w:val="de-DE"/>
        </w:rPr>
        <w:t xml:space="preserve">nach wie vor </w:t>
      </w:r>
      <w:r w:rsidRPr="00670F43">
        <w:rPr>
          <w:lang w:val="de-DE"/>
        </w:rPr>
        <w:t xml:space="preserve">ein fester Rechnungszins von sechs Prozent für die Bewertung der zu bildenden Pensionsrückstellungen zu Grunde zu legen. Aufgrund des im Verhältnis zum handelsrechtlich zu verwendenden Zinssatz deutlich zu hohen steuerrechtlichen Zinssatzes kann nur ein Teil der handelsrechtlich zu bilanzierenden Pensionsverpflichtungen steuerlich geltend gemacht werden. </w:t>
      </w:r>
      <w:r>
        <w:rPr>
          <w:lang w:val="de-DE"/>
        </w:rPr>
        <w:t xml:space="preserve">Dies führt zur Versteuerung von Scheingewinnen. Nach einer Studie des </w:t>
      </w:r>
      <w:r w:rsidRPr="00670F43">
        <w:rPr>
          <w:lang w:val="de-DE"/>
        </w:rPr>
        <w:t xml:space="preserve">DIHK </w:t>
      </w:r>
      <w:r>
        <w:rPr>
          <w:lang w:val="de-DE"/>
        </w:rPr>
        <w:t>haben</w:t>
      </w:r>
      <w:r w:rsidRPr="00670F43">
        <w:rPr>
          <w:lang w:val="de-DE"/>
        </w:rPr>
        <w:t xml:space="preserve"> mittelständische Unternehmen seit 2008 </w:t>
      </w:r>
      <w:r>
        <w:rPr>
          <w:lang w:val="de-DE"/>
        </w:rPr>
        <w:t xml:space="preserve">so </w:t>
      </w:r>
      <w:r w:rsidRPr="00670F43">
        <w:rPr>
          <w:lang w:val="de-DE"/>
        </w:rPr>
        <w:t>mehr als 700 Millionen Euro an Steuern au</w:t>
      </w:r>
      <w:r>
        <w:rPr>
          <w:lang w:val="de-DE"/>
        </w:rPr>
        <w:t>f fiktive Gewinne gezahlt.</w:t>
      </w:r>
      <w:r w:rsidRPr="00670F43">
        <w:rPr>
          <w:lang w:val="de-DE"/>
        </w:rPr>
        <w:t xml:space="preserve"> </w:t>
      </w:r>
      <w:r>
        <w:rPr>
          <w:lang w:val="de-DE"/>
        </w:rPr>
        <w:t xml:space="preserve">Diese steuerliche Behandlung ist für die Akzeptanz der </w:t>
      </w:r>
      <w:r w:rsidR="00FB45E2">
        <w:rPr>
          <w:lang w:val="de-DE"/>
        </w:rPr>
        <w:t xml:space="preserve">bAV </w:t>
      </w:r>
      <w:r>
        <w:rPr>
          <w:lang w:val="de-DE"/>
        </w:rPr>
        <w:t>in der Praxis nicht förderlich. Die fpmi fordert daher</w:t>
      </w:r>
      <w:r w:rsidR="0056516B">
        <w:rPr>
          <w:lang w:val="de-DE"/>
        </w:rPr>
        <w:t xml:space="preserve">, </w:t>
      </w:r>
      <w:r w:rsidR="00C546F3">
        <w:rPr>
          <w:lang w:val="de-DE"/>
        </w:rPr>
        <w:t>eine Absenkung des steuerli</w:t>
      </w:r>
      <w:r w:rsidR="0056516B">
        <w:rPr>
          <w:lang w:val="de-DE"/>
        </w:rPr>
        <w:t>chen Rechnungszinses zu prüfen.</w:t>
      </w:r>
    </w:p>
    <w:p w14:paraId="4E15E4BA" w14:textId="77777777" w:rsidR="00B86E33" w:rsidRPr="00670F43" w:rsidRDefault="00B86E33" w:rsidP="00B86E33">
      <w:pPr>
        <w:spacing w:after="0" w:line="240" w:lineRule="auto"/>
        <w:rPr>
          <w:lang w:val="de-DE"/>
        </w:rPr>
      </w:pPr>
    </w:p>
    <w:p w14:paraId="38F48EE9" w14:textId="77777777" w:rsidR="0056516B" w:rsidRDefault="00B86E33" w:rsidP="00B86E33">
      <w:pPr>
        <w:spacing w:after="0" w:line="240" w:lineRule="auto"/>
        <w:rPr>
          <w:lang w:val="de-DE"/>
        </w:rPr>
      </w:pPr>
      <w:r>
        <w:rPr>
          <w:lang w:val="de-DE"/>
        </w:rPr>
        <w:t xml:space="preserve">Weiter ist zu fordern, dass der provisionsgestützte Vertrieb der Altersvorsorgeprodukte auch weiterhin möglich bleibt. </w:t>
      </w:r>
    </w:p>
    <w:p w14:paraId="191B443C" w14:textId="77777777" w:rsidR="0056516B" w:rsidRDefault="0056516B" w:rsidP="00B86E33">
      <w:pPr>
        <w:spacing w:after="0" w:line="240" w:lineRule="auto"/>
        <w:rPr>
          <w:lang w:val="de-DE"/>
        </w:rPr>
      </w:pPr>
    </w:p>
    <w:p w14:paraId="46155F21" w14:textId="77777777" w:rsidR="0056516B" w:rsidRDefault="00B86E33" w:rsidP="0056516B">
      <w:pPr>
        <w:spacing w:after="0" w:line="240" w:lineRule="auto"/>
        <w:jc w:val="both"/>
        <w:rPr>
          <w:lang w:val="de-DE"/>
        </w:rPr>
      </w:pPr>
      <w:r>
        <w:rPr>
          <w:lang w:val="de-DE"/>
        </w:rPr>
        <w:t xml:space="preserve">Sollte der provisionsgestützte Vertrieb über Regulierungsvorschriften wie MiFID II und IDD für die Banken und Versicherungen so unattraktiv werden, dass sie ihn nur noch sehr eingeschränkt anbieten werden, könnte dies massive Auswirkungen auf den Vertrieb dieser Produkte haben. </w:t>
      </w:r>
    </w:p>
    <w:p w14:paraId="3CEF4AB5" w14:textId="77777777" w:rsidR="0056516B" w:rsidRDefault="0056516B" w:rsidP="0056516B">
      <w:pPr>
        <w:spacing w:after="0" w:line="240" w:lineRule="auto"/>
        <w:jc w:val="both"/>
        <w:rPr>
          <w:lang w:val="de-DE"/>
        </w:rPr>
      </w:pPr>
    </w:p>
    <w:p w14:paraId="4311D3CD" w14:textId="15E0B7CF" w:rsidR="00B86E33" w:rsidRDefault="00B86E33" w:rsidP="0056516B">
      <w:pPr>
        <w:spacing w:after="0" w:line="240" w:lineRule="auto"/>
        <w:jc w:val="both"/>
        <w:rPr>
          <w:lang w:val="de-DE"/>
        </w:rPr>
      </w:pPr>
      <w:r>
        <w:rPr>
          <w:lang w:val="de-DE"/>
        </w:rPr>
        <w:t>Nachdem die Honorarberatung in Deutschland bislang kaum nachgefragt ist, werden komplexe Produkte wie Altersvorsorge ohne eine provisionsgestützte Beratung kaum noch beraten werden. Die Folgen daraus kann man in England und in den Niederlanden sehen: Altersvorsorgepr</w:t>
      </w:r>
      <w:r w:rsidR="0056516B">
        <w:rPr>
          <w:lang w:val="de-DE"/>
        </w:rPr>
        <w:t xml:space="preserve">odukte werden seit Abschaffung </w:t>
      </w:r>
      <w:r>
        <w:rPr>
          <w:lang w:val="de-DE"/>
        </w:rPr>
        <w:t>der provisionsgestützten Beratung kaum noch nachgefragt – mit verheerenden Auswirkungen für die Altersabsicherung der Bevölkerung.</w:t>
      </w:r>
    </w:p>
    <w:p w14:paraId="68F849C7" w14:textId="18333F5F" w:rsidR="00501EFE" w:rsidRDefault="00501EFE" w:rsidP="0056516B">
      <w:pPr>
        <w:spacing w:after="0" w:line="240" w:lineRule="auto"/>
        <w:jc w:val="both"/>
        <w:rPr>
          <w:lang w:val="de-DE"/>
        </w:rPr>
      </w:pPr>
    </w:p>
    <w:p w14:paraId="79C56AF2" w14:textId="77777777" w:rsidR="00E211F1" w:rsidRPr="00501EFE" w:rsidRDefault="00E211F1" w:rsidP="0056516B">
      <w:pPr>
        <w:spacing w:after="0" w:line="240" w:lineRule="auto"/>
        <w:jc w:val="both"/>
        <w:rPr>
          <w:color w:val="FF0000"/>
          <w:lang w:val="de-DE"/>
        </w:rPr>
      </w:pPr>
    </w:p>
    <w:p w14:paraId="2FC62A97" w14:textId="77777777" w:rsidR="00F76F2A" w:rsidRDefault="00F76F2A" w:rsidP="00B22C75">
      <w:pPr>
        <w:spacing w:after="0" w:line="240" w:lineRule="auto"/>
        <w:rPr>
          <w:lang w:val="de-DE"/>
        </w:rPr>
      </w:pPr>
    </w:p>
    <w:p w14:paraId="605CB07B" w14:textId="0761195B" w:rsidR="00B22C75" w:rsidRPr="00E211F1" w:rsidRDefault="00E211F1" w:rsidP="00B22C75">
      <w:pPr>
        <w:pBdr>
          <w:top w:val="single" w:sz="4" w:space="1" w:color="auto"/>
          <w:left w:val="single" w:sz="4" w:space="4" w:color="auto"/>
          <w:bottom w:val="single" w:sz="4" w:space="1" w:color="auto"/>
          <w:right w:val="single" w:sz="4" w:space="4" w:color="auto"/>
        </w:pBdr>
        <w:spacing w:after="0" w:line="240" w:lineRule="auto"/>
        <w:rPr>
          <w:lang w:val="de-DE"/>
        </w:rPr>
      </w:pPr>
      <w:r w:rsidRPr="00E211F1">
        <w:rPr>
          <w:lang w:val="de-DE"/>
        </w:rPr>
        <w:t>Fazit</w:t>
      </w:r>
    </w:p>
    <w:p w14:paraId="5EEB3F6A" w14:textId="77777777" w:rsidR="00B22C75" w:rsidRDefault="00B22C75" w:rsidP="00B22C75">
      <w:pPr>
        <w:spacing w:after="0" w:line="240" w:lineRule="auto"/>
        <w:rPr>
          <w:lang w:val="de-DE"/>
        </w:rPr>
      </w:pPr>
    </w:p>
    <w:p w14:paraId="01ECB275" w14:textId="629D70FF" w:rsidR="0056516B" w:rsidRPr="0056516B" w:rsidRDefault="0056516B" w:rsidP="0056516B">
      <w:pPr>
        <w:spacing w:after="0" w:line="240" w:lineRule="auto"/>
        <w:jc w:val="both"/>
        <w:rPr>
          <w:lang w:val="de-DE"/>
        </w:rPr>
      </w:pPr>
      <w:r>
        <w:rPr>
          <w:lang w:val="de-DE"/>
        </w:rPr>
        <w:t>D</w:t>
      </w:r>
      <w:r w:rsidRPr="0056516B">
        <w:rPr>
          <w:lang w:val="de-DE"/>
        </w:rPr>
        <w:t xml:space="preserve">ie fpmi </w:t>
      </w:r>
      <w:r>
        <w:rPr>
          <w:lang w:val="de-DE"/>
        </w:rPr>
        <w:t xml:space="preserve">tritt weiter </w:t>
      </w:r>
      <w:r w:rsidRPr="0056516B">
        <w:rPr>
          <w:lang w:val="de-DE"/>
        </w:rPr>
        <w:t xml:space="preserve">entschlossen dafür ein, </w:t>
      </w:r>
      <w:r>
        <w:rPr>
          <w:lang w:val="de-DE"/>
        </w:rPr>
        <w:t>das Drei Säulen-Mo</w:t>
      </w:r>
      <w:r w:rsidR="007D6D8B">
        <w:rPr>
          <w:lang w:val="de-DE"/>
        </w:rPr>
        <w:t>d</w:t>
      </w:r>
      <w:r>
        <w:rPr>
          <w:lang w:val="de-DE"/>
        </w:rPr>
        <w:t xml:space="preserve">ell der Altersvorsorge nun endlich zukunftsfest zu machen und dabei </w:t>
      </w:r>
      <w:r w:rsidRPr="0056516B">
        <w:rPr>
          <w:lang w:val="de-DE"/>
        </w:rPr>
        <w:t xml:space="preserve">die kapitalgedeckte Altersvorsorge </w:t>
      </w:r>
      <w:r>
        <w:rPr>
          <w:lang w:val="de-DE"/>
        </w:rPr>
        <w:t xml:space="preserve">der zweiten bzw. dritten Säule </w:t>
      </w:r>
      <w:r w:rsidRPr="0056516B">
        <w:rPr>
          <w:lang w:val="de-DE"/>
        </w:rPr>
        <w:t xml:space="preserve">privatwirtschaftlich organisiert </w:t>
      </w:r>
      <w:r>
        <w:rPr>
          <w:lang w:val="de-DE"/>
        </w:rPr>
        <w:t>weiter auszubauen.</w:t>
      </w:r>
    </w:p>
    <w:p w14:paraId="7086EA06" w14:textId="06FAE358" w:rsidR="0056516B" w:rsidRPr="0056516B" w:rsidRDefault="0056516B" w:rsidP="0056516B">
      <w:pPr>
        <w:spacing w:after="0" w:line="240" w:lineRule="auto"/>
        <w:jc w:val="both"/>
        <w:rPr>
          <w:lang w:val="de-DE"/>
        </w:rPr>
      </w:pPr>
      <w:r>
        <w:rPr>
          <w:lang w:val="de-DE"/>
        </w:rPr>
        <w:t>Der</w:t>
      </w:r>
      <w:r w:rsidRPr="0056516B">
        <w:rPr>
          <w:lang w:val="de-DE"/>
        </w:rPr>
        <w:t xml:space="preserve"> 19. Bundestag </w:t>
      </w:r>
      <w:r>
        <w:rPr>
          <w:lang w:val="de-DE"/>
        </w:rPr>
        <w:t xml:space="preserve">hat </w:t>
      </w:r>
      <w:r w:rsidRPr="0056516B">
        <w:rPr>
          <w:lang w:val="de-DE"/>
        </w:rPr>
        <w:t xml:space="preserve">die Chance für eine umfassende Reform der staatlich geförderten privaten Altersvorsorge </w:t>
      </w:r>
      <w:r w:rsidR="00A836EC">
        <w:rPr>
          <w:lang w:val="de-DE"/>
        </w:rPr>
        <w:t>leider nicht</w:t>
      </w:r>
      <w:r>
        <w:rPr>
          <w:lang w:val="de-DE"/>
        </w:rPr>
        <w:t xml:space="preserve"> </w:t>
      </w:r>
      <w:r w:rsidRPr="0056516B">
        <w:rPr>
          <w:lang w:val="de-DE"/>
        </w:rPr>
        <w:t xml:space="preserve">genutzt. </w:t>
      </w:r>
    </w:p>
    <w:p w14:paraId="02CCD8E1" w14:textId="77777777" w:rsidR="0056516B" w:rsidRPr="0056516B" w:rsidRDefault="0056516B" w:rsidP="0056516B">
      <w:pPr>
        <w:spacing w:after="0" w:line="240" w:lineRule="auto"/>
        <w:jc w:val="both"/>
        <w:rPr>
          <w:lang w:val="de-DE"/>
        </w:rPr>
      </w:pPr>
      <w:r w:rsidRPr="0056516B">
        <w:rPr>
          <w:lang w:val="de-DE"/>
        </w:rPr>
        <w:t xml:space="preserve">Wir brauchen </w:t>
      </w:r>
      <w:r>
        <w:rPr>
          <w:lang w:val="de-DE"/>
        </w:rPr>
        <w:t xml:space="preserve">deshalb </w:t>
      </w:r>
      <w:r w:rsidRPr="0056516B">
        <w:rPr>
          <w:lang w:val="de-DE"/>
        </w:rPr>
        <w:t>jetzt</w:t>
      </w:r>
      <w:r>
        <w:rPr>
          <w:lang w:val="de-DE"/>
        </w:rPr>
        <w:t xml:space="preserve"> insbesondere</w:t>
      </w:r>
      <w:r w:rsidRPr="0056516B">
        <w:rPr>
          <w:lang w:val="de-DE"/>
        </w:rPr>
        <w:t xml:space="preserve"> einen Neustar</w:t>
      </w:r>
      <w:r>
        <w:rPr>
          <w:lang w:val="de-DE"/>
        </w:rPr>
        <w:t xml:space="preserve">t der „Riester-Rente“. Es gilt dabei, </w:t>
      </w:r>
      <w:r w:rsidRPr="0056516B">
        <w:rPr>
          <w:lang w:val="de-DE"/>
        </w:rPr>
        <w:t xml:space="preserve">modifizierte Garantien zu ermöglichen, </w:t>
      </w:r>
      <w:r>
        <w:rPr>
          <w:lang w:val="de-DE"/>
        </w:rPr>
        <w:t xml:space="preserve">die gesetzlichen </w:t>
      </w:r>
      <w:r w:rsidRPr="0056516B">
        <w:rPr>
          <w:lang w:val="de-DE"/>
        </w:rPr>
        <w:t>Zulagen dynamisch an die Lohn- und Gehaltsentwicklung anpassen, den förderberechtigten Personenkreis ausweiten und die Verwaltungsprozesse zu modernisieren.</w:t>
      </w:r>
    </w:p>
    <w:p w14:paraId="07A8DB20" w14:textId="77777777" w:rsidR="0056516B" w:rsidRPr="0056516B" w:rsidRDefault="0056516B" w:rsidP="0056516B">
      <w:pPr>
        <w:spacing w:after="0" w:line="240" w:lineRule="auto"/>
        <w:jc w:val="both"/>
        <w:rPr>
          <w:lang w:val="de-DE"/>
        </w:rPr>
      </w:pPr>
      <w:r w:rsidRPr="0056516B">
        <w:rPr>
          <w:lang w:val="de-DE"/>
        </w:rPr>
        <w:t>Bei der betrieblichen Altersvorsorge wird die Weiterverbreitung nur gelingen, wenn das Betriebsrentenstärkungsgesetz weiterentwickelt wird. Die Komplexität der Vorgaben zur Durchführung und Steuerung muss reduziert und die konkrete Ausgestaltung der reinen Beitragszusagen den Tarifvertragsparteien überlassen werden. Um die Verbreitung der bAV bei kleinen und mittleren Unternehmen zu stärken muss der Tarifvorbehalt der reinen Beitragszusage auf den Prüfstand gestellt werden.</w:t>
      </w:r>
    </w:p>
    <w:p w14:paraId="73EB149E" w14:textId="5736AC0A" w:rsidR="0056516B" w:rsidRPr="0056516B" w:rsidRDefault="0056516B" w:rsidP="0056516B">
      <w:pPr>
        <w:spacing w:after="0" w:line="240" w:lineRule="auto"/>
        <w:jc w:val="both"/>
        <w:rPr>
          <w:lang w:val="de-DE"/>
        </w:rPr>
      </w:pPr>
      <w:r w:rsidRPr="0056516B">
        <w:rPr>
          <w:lang w:val="de-DE"/>
        </w:rPr>
        <w:t>Um Belastungen der Unternehmen durch Betriebsrentenzusagen zu verringern</w:t>
      </w:r>
      <w:r w:rsidR="007D6D8B">
        <w:rPr>
          <w:lang w:val="de-DE"/>
        </w:rPr>
        <w:t>,</w:t>
      </w:r>
      <w:r w:rsidRPr="0056516B">
        <w:rPr>
          <w:lang w:val="de-DE"/>
        </w:rPr>
        <w:t xml:space="preserve"> muss endlich die vollumfängliche steuerliche Anerkennung von Betriebsrentenverpflichtungen erfolgen.</w:t>
      </w:r>
    </w:p>
    <w:p w14:paraId="63D2EEBC" w14:textId="1AA47F47" w:rsidR="0056516B" w:rsidRDefault="0056516B" w:rsidP="0056516B">
      <w:pPr>
        <w:spacing w:after="0" w:line="240" w:lineRule="auto"/>
        <w:jc w:val="both"/>
        <w:rPr>
          <w:lang w:val="de-DE"/>
        </w:rPr>
      </w:pPr>
      <w:r w:rsidRPr="0056516B">
        <w:rPr>
          <w:lang w:val="de-DE"/>
        </w:rPr>
        <w:t>Wichtig ist zudem, dass der Aufbau der kapitalgedeckten Altersvorsorge weiterhin im privatwirtschaftlichen, kostentransparenten Wettbewerb organisiert wird. Vorschläge staatlich organisierter Altersvorsorgefonds lehnen wir ab.Weitere wichtige Bestandteile der Altersvorsorge</w:t>
      </w:r>
      <w:r>
        <w:rPr>
          <w:lang w:val="de-DE"/>
        </w:rPr>
        <w:t xml:space="preserve"> </w:t>
      </w:r>
      <w:r>
        <w:rPr>
          <w:lang w:val="de-DE"/>
        </w:rPr>
        <w:lastRenderedPageBreak/>
        <w:t>jenseits des Drei Säulen-Modells</w:t>
      </w:r>
      <w:r w:rsidRPr="0056516B">
        <w:rPr>
          <w:lang w:val="de-DE"/>
        </w:rPr>
        <w:t xml:space="preserve"> sind der individuell passende Vermögensaufbau, vor allem durch eine eigengenutzte Immobilie. Auch hier gilt es, die Rahmenbedingungen dafür weiter zu optimieren.</w:t>
      </w:r>
    </w:p>
    <w:p w14:paraId="10EADE61" w14:textId="77777777" w:rsidR="00225C33" w:rsidRDefault="00225C33" w:rsidP="0056516B">
      <w:pPr>
        <w:spacing w:after="0" w:line="240" w:lineRule="auto"/>
        <w:jc w:val="both"/>
        <w:rPr>
          <w:lang w:val="de-DE"/>
        </w:rPr>
      </w:pPr>
    </w:p>
    <w:p w14:paraId="4ECAEEF1" w14:textId="2DB52BC7" w:rsidR="00225C33" w:rsidRPr="008541D0" w:rsidRDefault="00225C33" w:rsidP="00225C33">
      <w:pPr>
        <w:pStyle w:val="Listenabsatz"/>
        <w:numPr>
          <w:ilvl w:val="0"/>
          <w:numId w:val="12"/>
        </w:numPr>
        <w:spacing w:after="0" w:line="240" w:lineRule="auto"/>
        <w:ind w:left="284"/>
        <w:rPr>
          <w:b/>
          <w:bCs/>
          <w:lang w:val="de-DE"/>
        </w:rPr>
      </w:pPr>
      <w:r w:rsidRPr="008541D0">
        <w:rPr>
          <w:b/>
          <w:bCs/>
          <w:lang w:val="de-DE"/>
        </w:rPr>
        <w:t>Altersvorsorge für Selbstständige</w:t>
      </w:r>
    </w:p>
    <w:p w14:paraId="1A5D2A9E" w14:textId="77777777" w:rsidR="00225C33" w:rsidRPr="00225C33" w:rsidRDefault="00225C33" w:rsidP="00225C33">
      <w:pPr>
        <w:pStyle w:val="Listenabsatz"/>
        <w:spacing w:after="0" w:line="240" w:lineRule="auto"/>
        <w:ind w:left="284"/>
        <w:rPr>
          <w:b/>
          <w:bCs/>
          <w:color w:val="FF0000"/>
          <w:lang w:val="de-DE"/>
        </w:rPr>
      </w:pPr>
    </w:p>
    <w:p w14:paraId="1323B8FC" w14:textId="04A15F87" w:rsidR="00485EA3" w:rsidRDefault="00485EA3" w:rsidP="00485EA3">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Hintergrund</w:t>
      </w:r>
    </w:p>
    <w:p w14:paraId="0DEF34A1" w14:textId="77777777" w:rsidR="000C07CD" w:rsidRDefault="000C07CD" w:rsidP="00225C33">
      <w:pPr>
        <w:spacing w:after="0" w:line="240" w:lineRule="auto"/>
        <w:rPr>
          <w:lang w:val="de-DE"/>
        </w:rPr>
      </w:pPr>
    </w:p>
    <w:p w14:paraId="215F9D10" w14:textId="0EF9FD19" w:rsidR="00161E94" w:rsidRDefault="00C97ACF" w:rsidP="00225C33">
      <w:pPr>
        <w:spacing w:after="0" w:line="240" w:lineRule="auto"/>
        <w:rPr>
          <w:i/>
          <w:iCs/>
          <w:lang w:val="de-DE"/>
        </w:rPr>
      </w:pPr>
      <w:r w:rsidRPr="0064213C">
        <w:rPr>
          <w:lang w:val="de-DE"/>
        </w:rPr>
        <w:t>Fü</w:t>
      </w:r>
      <w:r>
        <w:rPr>
          <w:lang w:val="de-DE"/>
        </w:rPr>
        <w:t>r Selbstständige besteht aktuell keine gesetzliche Altersvorsorgepflicht</w:t>
      </w:r>
      <w:r w:rsidR="00161E94">
        <w:rPr>
          <w:lang w:val="de-DE"/>
        </w:rPr>
        <w:t>, abgesehen von einzelnen Berufsgruppen, für die berufsständische Versorgungswerke bestehen und weiteren Sonderfällen, wie den arbeitnehmerartigen Selbstständigen.</w:t>
      </w:r>
      <w:r>
        <w:rPr>
          <w:lang w:val="de-DE"/>
        </w:rPr>
        <w:t xml:space="preserve"> </w:t>
      </w:r>
      <w:r w:rsidR="00225C33" w:rsidRPr="00485EA3">
        <w:rPr>
          <w:lang w:val="de-DE"/>
        </w:rPr>
        <w:t xml:space="preserve">Die Einführung einer </w:t>
      </w:r>
      <w:r>
        <w:rPr>
          <w:lang w:val="de-DE"/>
        </w:rPr>
        <w:t>Altersvorsorgepflicht</w:t>
      </w:r>
      <w:r w:rsidRPr="00485EA3">
        <w:rPr>
          <w:lang w:val="de-DE"/>
        </w:rPr>
        <w:t xml:space="preserve"> </w:t>
      </w:r>
      <w:r w:rsidR="00225C33" w:rsidRPr="00485EA3">
        <w:rPr>
          <w:lang w:val="de-DE"/>
        </w:rPr>
        <w:t xml:space="preserve">für Selbstständige ist im Koalitionsvertrag </w:t>
      </w:r>
      <w:r>
        <w:rPr>
          <w:lang w:val="de-DE"/>
        </w:rPr>
        <w:t xml:space="preserve">der Ampelkoalition </w:t>
      </w:r>
      <w:r w:rsidR="00225C33" w:rsidRPr="00485EA3">
        <w:rPr>
          <w:lang w:val="de-DE"/>
        </w:rPr>
        <w:t>verankert (</w:t>
      </w:r>
      <w:r w:rsidR="00225C33" w:rsidRPr="00485EA3">
        <w:rPr>
          <w:i/>
          <w:iCs/>
          <w:lang w:val="de-DE"/>
        </w:rPr>
        <w:t xml:space="preserve">„…wollen wir eine gründerfreundlich ausgestaltete Altersvorsorgepflicht für alle Selbstständigen einführen,…“). </w:t>
      </w:r>
    </w:p>
    <w:p w14:paraId="5A3D654C" w14:textId="1CCE766C" w:rsidR="00225C33" w:rsidRPr="00485EA3" w:rsidRDefault="000011F6" w:rsidP="00225C33">
      <w:pPr>
        <w:spacing w:after="0" w:line="240" w:lineRule="auto"/>
        <w:rPr>
          <w:lang w:val="de-DE"/>
        </w:rPr>
      </w:pPr>
      <w:r>
        <w:rPr>
          <w:lang w:val="de-DE"/>
        </w:rPr>
        <w:t>Es hat sich gezeigt, dass nicht alle Selbstständigen auf freiwilliger Basis ausreichend für das Alter vorsorgen. A</w:t>
      </w:r>
      <w:r w:rsidR="00225C33" w:rsidRPr="00485EA3">
        <w:rPr>
          <w:lang w:val="de-DE"/>
        </w:rPr>
        <w:t xml:space="preserve">uch für Selbstständige </w:t>
      </w:r>
      <w:r>
        <w:rPr>
          <w:lang w:val="de-DE"/>
        </w:rPr>
        <w:t xml:space="preserve">sollte </w:t>
      </w:r>
      <w:r w:rsidR="00BE4699">
        <w:rPr>
          <w:lang w:val="de-DE"/>
        </w:rPr>
        <w:t xml:space="preserve">aber </w:t>
      </w:r>
      <w:r w:rsidR="00225C33" w:rsidRPr="00485EA3">
        <w:rPr>
          <w:lang w:val="de-DE"/>
        </w:rPr>
        <w:t xml:space="preserve">ein angemessener Lebensstandard im Ruhestand gesichert </w:t>
      </w:r>
      <w:r>
        <w:rPr>
          <w:lang w:val="de-DE"/>
        </w:rPr>
        <w:t>sein</w:t>
      </w:r>
      <w:r w:rsidR="00225C33" w:rsidRPr="00485EA3">
        <w:rPr>
          <w:lang w:val="de-DE"/>
        </w:rPr>
        <w:t xml:space="preserve">. Wenn Selbstständige nicht oder nicht ausreichend für ihr Alter vorsorgen, entsteht das Problem, dass die resultierenden Kosten der Solidargemeinschaft zur Last fallen. </w:t>
      </w:r>
    </w:p>
    <w:p w14:paraId="73D1B2F2" w14:textId="77777777" w:rsidR="00225C33" w:rsidRDefault="00225C33" w:rsidP="0056516B">
      <w:pPr>
        <w:spacing w:after="0" w:line="240" w:lineRule="auto"/>
        <w:jc w:val="both"/>
        <w:rPr>
          <w:lang w:val="de-DE"/>
        </w:rPr>
      </w:pPr>
    </w:p>
    <w:p w14:paraId="5FD181F8" w14:textId="77777777" w:rsidR="00485EA3" w:rsidRDefault="00485EA3" w:rsidP="00485EA3">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Position der fpmi</w:t>
      </w:r>
    </w:p>
    <w:p w14:paraId="30708762" w14:textId="77777777" w:rsidR="007E6290" w:rsidRDefault="007E6290" w:rsidP="00225C33">
      <w:pPr>
        <w:spacing w:after="0" w:line="240" w:lineRule="auto"/>
        <w:jc w:val="both"/>
        <w:rPr>
          <w:lang w:val="de-DE"/>
        </w:rPr>
      </w:pPr>
    </w:p>
    <w:p w14:paraId="76451F57" w14:textId="43CF2AAB" w:rsidR="000011F6" w:rsidRDefault="00FB05A5" w:rsidP="00225C33">
      <w:pPr>
        <w:spacing w:after="0" w:line="240" w:lineRule="auto"/>
        <w:jc w:val="both"/>
        <w:rPr>
          <w:lang w:val="de-DE"/>
        </w:rPr>
      </w:pPr>
      <w:r>
        <w:rPr>
          <w:lang w:val="de-DE"/>
        </w:rPr>
        <w:t>Eine Altersvorsorgepflicht für Selbstständige ist vor diesem Hintergrund sinnvoll</w:t>
      </w:r>
      <w:r w:rsidR="00973E53">
        <w:rPr>
          <w:lang w:val="de-DE"/>
        </w:rPr>
        <w:t xml:space="preserve">, allerdings </w:t>
      </w:r>
      <w:r w:rsidR="0064213C">
        <w:rPr>
          <w:lang w:val="de-DE"/>
        </w:rPr>
        <w:t xml:space="preserve">sollten </w:t>
      </w:r>
      <w:r w:rsidR="0064213C" w:rsidRPr="00485EA3">
        <w:rPr>
          <w:lang w:val="de-DE"/>
        </w:rPr>
        <w:t>Selbstständige</w:t>
      </w:r>
      <w:r w:rsidR="00225C33" w:rsidRPr="00485EA3">
        <w:rPr>
          <w:lang w:val="de-DE"/>
        </w:rPr>
        <w:t xml:space="preserve"> keine Pflicht zur gesetzlichen Rentenversicherung haben, sondern aus einem möglichst breiten Spektrum an privaten Altersvorsorgemöglichkeiten auswählen können. Es </w:t>
      </w:r>
      <w:r w:rsidR="005101E2">
        <w:rPr>
          <w:lang w:val="de-DE"/>
        </w:rPr>
        <w:t>sollte</w:t>
      </w:r>
      <w:r w:rsidR="005101E2" w:rsidRPr="00485EA3">
        <w:rPr>
          <w:lang w:val="de-DE"/>
        </w:rPr>
        <w:t xml:space="preserve"> </w:t>
      </w:r>
      <w:r w:rsidR="00225C33" w:rsidRPr="00485EA3">
        <w:rPr>
          <w:lang w:val="de-DE"/>
        </w:rPr>
        <w:t xml:space="preserve">ein </w:t>
      </w:r>
      <w:r w:rsidR="005101E2">
        <w:rPr>
          <w:lang w:val="de-DE"/>
        </w:rPr>
        <w:t xml:space="preserve">möglichst breit gefächertes </w:t>
      </w:r>
      <w:r w:rsidR="00225C33" w:rsidRPr="00485EA3">
        <w:rPr>
          <w:lang w:val="de-DE"/>
        </w:rPr>
        <w:t>Angebot an insolvenz- und pfändungssicheren Alternativen zur gesetzlichen Rentenversicherung geben, die bürokratiearm ein</w:t>
      </w:r>
      <w:r w:rsidR="005101E2">
        <w:rPr>
          <w:lang w:val="de-DE"/>
        </w:rPr>
        <w:t>- und durch</w:t>
      </w:r>
      <w:r w:rsidR="00225C33" w:rsidRPr="00485EA3">
        <w:rPr>
          <w:lang w:val="de-DE"/>
        </w:rPr>
        <w:t xml:space="preserve">geführt werden. </w:t>
      </w:r>
    </w:p>
    <w:p w14:paraId="30105649" w14:textId="7DCB0C40" w:rsidR="00536E63" w:rsidRDefault="00536E63" w:rsidP="00225C33">
      <w:pPr>
        <w:spacing w:after="0" w:line="240" w:lineRule="auto"/>
        <w:jc w:val="both"/>
        <w:rPr>
          <w:lang w:val="de-DE"/>
        </w:rPr>
      </w:pPr>
    </w:p>
    <w:p w14:paraId="71A1FC5E" w14:textId="404BDA04" w:rsidR="00536E63" w:rsidRDefault="00536E63" w:rsidP="00225C33">
      <w:pPr>
        <w:spacing w:after="0" w:line="240" w:lineRule="auto"/>
        <w:jc w:val="both"/>
        <w:rPr>
          <w:lang w:val="de-DE"/>
        </w:rPr>
      </w:pPr>
      <w:r>
        <w:rPr>
          <w:lang w:val="de-DE"/>
        </w:rPr>
        <w:t xml:space="preserve">Es ist richtig, dass der Koalitionsvertrag die Altersvorsorgepflicht nur für diejenigen vorsieht, die neu in die Selbstständigkeit starten und eine zweijährige Karenzzeit nach der Gründung vorgesehen ist. </w:t>
      </w:r>
    </w:p>
    <w:p w14:paraId="552DFDCF" w14:textId="77777777" w:rsidR="000011F6" w:rsidRDefault="000011F6" w:rsidP="00225C33">
      <w:pPr>
        <w:spacing w:after="0" w:line="240" w:lineRule="auto"/>
        <w:jc w:val="both"/>
        <w:rPr>
          <w:lang w:val="de-DE"/>
        </w:rPr>
      </w:pPr>
    </w:p>
    <w:p w14:paraId="529FDA53" w14:textId="3564E8B5" w:rsidR="00647E98" w:rsidRDefault="00647E98" w:rsidP="00225C33">
      <w:pPr>
        <w:spacing w:after="0" w:line="240" w:lineRule="auto"/>
        <w:jc w:val="both"/>
        <w:rPr>
          <w:lang w:val="de-DE"/>
        </w:rPr>
      </w:pPr>
    </w:p>
    <w:p w14:paraId="7825AB3D" w14:textId="1B49CAD9" w:rsidR="005101E2" w:rsidRDefault="00647E98" w:rsidP="00647E98">
      <w:pPr>
        <w:spacing w:after="0" w:line="240" w:lineRule="auto"/>
        <w:jc w:val="both"/>
        <w:rPr>
          <w:lang w:val="de-DE"/>
        </w:rPr>
      </w:pPr>
      <w:r w:rsidRPr="00647E98">
        <w:rPr>
          <w:lang w:val="de-DE"/>
        </w:rPr>
        <w:t>Wer selbstständig ist, sollte tatsächlich Wahlfreiheit zwischen der gesetzlichen Rentenversicherung und den</w:t>
      </w:r>
      <w:r>
        <w:rPr>
          <w:lang w:val="de-DE"/>
        </w:rPr>
        <w:t xml:space="preserve"> </w:t>
      </w:r>
      <w:r w:rsidRPr="00647E98">
        <w:rPr>
          <w:lang w:val="de-DE"/>
        </w:rPr>
        <w:t xml:space="preserve">dargestellten privaten „Opt-Out-Produkten“ haben. </w:t>
      </w:r>
      <w:r w:rsidR="005101E2">
        <w:rPr>
          <w:lang w:val="de-DE"/>
        </w:rPr>
        <w:t>Das beinhaltet, dass alternative Vorsorgeprodukte nicht nur insolvenz- und pfändungssiche</w:t>
      </w:r>
      <w:r w:rsidR="00973E53">
        <w:rPr>
          <w:lang w:val="de-DE"/>
        </w:rPr>
        <w:t>r</w:t>
      </w:r>
      <w:r w:rsidR="005101E2">
        <w:rPr>
          <w:lang w:val="de-DE"/>
        </w:rPr>
        <w:t xml:space="preserve">, sondern auch im Hinblick auf Aufwand und Ertrag attraktiv sein müssen. </w:t>
      </w:r>
    </w:p>
    <w:p w14:paraId="75D4FB82" w14:textId="1018613D" w:rsidR="00485EA3" w:rsidRPr="00225C33" w:rsidRDefault="00647E98" w:rsidP="00647E98">
      <w:pPr>
        <w:spacing w:after="0" w:line="240" w:lineRule="auto"/>
        <w:jc w:val="both"/>
        <w:rPr>
          <w:color w:val="FF0000"/>
          <w:lang w:val="de-DE"/>
        </w:rPr>
      </w:pPr>
      <w:r w:rsidRPr="00647E98">
        <w:rPr>
          <w:lang w:val="de-DE"/>
        </w:rPr>
        <w:t>Für das Statusfeststellungsverfahren, also die Feststellung</w:t>
      </w:r>
      <w:r>
        <w:rPr>
          <w:lang w:val="de-DE"/>
        </w:rPr>
        <w:t xml:space="preserve"> </w:t>
      </w:r>
      <w:r w:rsidRPr="00647E98">
        <w:rPr>
          <w:lang w:val="de-DE"/>
        </w:rPr>
        <w:t>durch die Rentenversicherung, ob abhängige Beschäftigung oder Selbstständigkeit vorliegt, müssen klare</w:t>
      </w:r>
      <w:r>
        <w:rPr>
          <w:lang w:val="de-DE"/>
        </w:rPr>
        <w:t xml:space="preserve"> </w:t>
      </w:r>
      <w:r w:rsidRPr="00647E98">
        <w:rPr>
          <w:lang w:val="de-DE"/>
        </w:rPr>
        <w:t>Abgrenzungen nach rechtssicheren Kriterien erfolgen. Dass Selbstständige die Möglichkeit haben, an Stelle der</w:t>
      </w:r>
      <w:r>
        <w:rPr>
          <w:lang w:val="de-DE"/>
        </w:rPr>
        <w:t xml:space="preserve"> </w:t>
      </w:r>
      <w:r w:rsidRPr="00647E98">
        <w:rPr>
          <w:lang w:val="de-DE"/>
        </w:rPr>
        <w:t>gesetzlichen Rentenversicherung private Altersvorsorge zu treffen, darf nicht dazu verleiten, andere</w:t>
      </w:r>
      <w:r>
        <w:rPr>
          <w:lang w:val="de-DE"/>
        </w:rPr>
        <w:t xml:space="preserve"> </w:t>
      </w:r>
      <w:r w:rsidRPr="00647E98">
        <w:rPr>
          <w:lang w:val="de-DE"/>
        </w:rPr>
        <w:t>Prüfungsmaßstäbe anzulegen, um so Selbstständige doch noch in die gesetzliche Rentenversicherung zu</w:t>
      </w:r>
      <w:r>
        <w:rPr>
          <w:lang w:val="de-DE"/>
        </w:rPr>
        <w:t xml:space="preserve"> </w:t>
      </w:r>
      <w:r w:rsidRPr="00647E98">
        <w:rPr>
          <w:lang w:val="de-DE"/>
        </w:rPr>
        <w:t>bringen.</w:t>
      </w:r>
    </w:p>
    <w:p w14:paraId="3AA46D2F" w14:textId="50FD84CE" w:rsidR="00225C33" w:rsidRDefault="00225C33" w:rsidP="0056516B">
      <w:pPr>
        <w:spacing w:after="0" w:line="240" w:lineRule="auto"/>
        <w:jc w:val="both"/>
        <w:rPr>
          <w:lang w:val="de-DE"/>
        </w:rPr>
      </w:pPr>
    </w:p>
    <w:p w14:paraId="02E26EBB" w14:textId="1399FEA9" w:rsidR="00485EA3" w:rsidRDefault="00485EA3" w:rsidP="00485EA3">
      <w:pPr>
        <w:pBdr>
          <w:top w:val="single" w:sz="4" w:space="1" w:color="auto"/>
          <w:left w:val="single" w:sz="4" w:space="4" w:color="auto"/>
          <w:bottom w:val="single" w:sz="4" w:space="1" w:color="auto"/>
          <w:right w:val="single" w:sz="4" w:space="4" w:color="auto"/>
        </w:pBdr>
        <w:spacing w:after="0" w:line="240" w:lineRule="auto"/>
        <w:rPr>
          <w:lang w:val="de-DE"/>
        </w:rPr>
      </w:pPr>
      <w:r>
        <w:rPr>
          <w:lang w:val="de-DE"/>
        </w:rPr>
        <w:t>Forderungen</w:t>
      </w:r>
    </w:p>
    <w:p w14:paraId="1E344351" w14:textId="77777777" w:rsidR="007E6290" w:rsidRDefault="007E6290" w:rsidP="007E6290">
      <w:pPr>
        <w:pStyle w:val="Default"/>
        <w:rPr>
          <w:rFonts w:asciiTheme="minorHAnsi" w:hAnsiTheme="minorHAnsi" w:cstheme="minorBidi"/>
          <w:b/>
          <w:bCs/>
          <w:color w:val="auto"/>
          <w:sz w:val="22"/>
          <w:szCs w:val="22"/>
        </w:rPr>
      </w:pPr>
    </w:p>
    <w:p w14:paraId="21627E37" w14:textId="72A380AF" w:rsidR="000C07CD" w:rsidRDefault="000C07CD" w:rsidP="000C07CD">
      <w:pPr>
        <w:pStyle w:val="Default"/>
        <w:rPr>
          <w:rFonts w:asciiTheme="minorHAnsi" w:hAnsiTheme="minorHAnsi" w:cstheme="minorBidi"/>
          <w:b/>
          <w:bCs/>
          <w:color w:val="auto"/>
          <w:sz w:val="22"/>
          <w:szCs w:val="22"/>
        </w:rPr>
      </w:pPr>
      <w:r w:rsidRPr="000C07CD">
        <w:rPr>
          <w:rFonts w:asciiTheme="minorHAnsi" w:hAnsiTheme="minorHAnsi" w:cstheme="minorBidi"/>
          <w:b/>
          <w:bCs/>
          <w:color w:val="auto"/>
          <w:sz w:val="22"/>
          <w:szCs w:val="22"/>
        </w:rPr>
        <w:t>Altersvorsorgepflicht</w:t>
      </w:r>
      <w:r>
        <w:rPr>
          <w:rFonts w:asciiTheme="minorHAnsi" w:hAnsiTheme="minorHAnsi" w:cstheme="minorBidi"/>
          <w:b/>
          <w:bCs/>
          <w:color w:val="auto"/>
          <w:sz w:val="22"/>
          <w:szCs w:val="22"/>
        </w:rPr>
        <w:t xml:space="preserve"> </w:t>
      </w:r>
      <w:r w:rsidRPr="000C07CD">
        <w:rPr>
          <w:rFonts w:asciiTheme="minorHAnsi" w:hAnsiTheme="minorHAnsi" w:cstheme="minorBidi"/>
          <w:b/>
          <w:bCs/>
          <w:color w:val="auto"/>
          <w:sz w:val="22"/>
          <w:szCs w:val="22"/>
        </w:rPr>
        <w:t xml:space="preserve">nur für </w:t>
      </w:r>
      <w:r>
        <w:rPr>
          <w:rFonts w:asciiTheme="minorHAnsi" w:hAnsiTheme="minorHAnsi" w:cstheme="minorBidi"/>
          <w:b/>
          <w:bCs/>
          <w:color w:val="auto"/>
          <w:sz w:val="22"/>
          <w:szCs w:val="22"/>
        </w:rPr>
        <w:t xml:space="preserve">neu gründende </w:t>
      </w:r>
      <w:r w:rsidRPr="000C07CD">
        <w:rPr>
          <w:rFonts w:asciiTheme="minorHAnsi" w:hAnsiTheme="minorHAnsi" w:cstheme="minorBidi"/>
          <w:b/>
          <w:bCs/>
          <w:color w:val="auto"/>
          <w:sz w:val="22"/>
          <w:szCs w:val="22"/>
        </w:rPr>
        <w:t>Selbstständige</w:t>
      </w:r>
    </w:p>
    <w:p w14:paraId="7F367A04" w14:textId="77777777" w:rsidR="000C07CD" w:rsidRDefault="000C07CD" w:rsidP="000C07CD">
      <w:pPr>
        <w:pStyle w:val="Default"/>
        <w:rPr>
          <w:rFonts w:asciiTheme="minorHAnsi" w:hAnsiTheme="minorHAnsi" w:cstheme="minorBidi"/>
          <w:b/>
          <w:bCs/>
          <w:color w:val="auto"/>
          <w:sz w:val="22"/>
          <w:szCs w:val="22"/>
        </w:rPr>
      </w:pPr>
    </w:p>
    <w:p w14:paraId="47A1F32D" w14:textId="59689FFC" w:rsidR="000C07CD" w:rsidRDefault="000C07CD" w:rsidP="000C07CD">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Z</w:t>
      </w:r>
      <w:r w:rsidRPr="000C07CD">
        <w:rPr>
          <w:rFonts w:asciiTheme="minorHAnsi" w:hAnsiTheme="minorHAnsi" w:cstheme="minorBidi"/>
          <w:b/>
          <w:bCs/>
          <w:color w:val="auto"/>
          <w:sz w:val="22"/>
          <w:szCs w:val="22"/>
        </w:rPr>
        <w:t>weijährige Karenzzeit für Gründer</w:t>
      </w:r>
    </w:p>
    <w:p w14:paraId="2369800F" w14:textId="77777777" w:rsidR="000C07CD" w:rsidRDefault="000C07CD" w:rsidP="000C07CD">
      <w:pPr>
        <w:pStyle w:val="Default"/>
        <w:rPr>
          <w:rFonts w:asciiTheme="minorHAnsi" w:hAnsiTheme="minorHAnsi" w:cstheme="minorBidi"/>
          <w:b/>
          <w:bCs/>
          <w:color w:val="auto"/>
          <w:sz w:val="22"/>
          <w:szCs w:val="22"/>
        </w:rPr>
      </w:pPr>
    </w:p>
    <w:p w14:paraId="7FEFE997" w14:textId="2CC2C8E6" w:rsidR="007E6290" w:rsidRPr="007E6290" w:rsidRDefault="00225C33" w:rsidP="007E6290">
      <w:pPr>
        <w:pStyle w:val="Default"/>
        <w:rPr>
          <w:rFonts w:asciiTheme="minorHAnsi" w:hAnsiTheme="minorHAnsi" w:cstheme="minorBidi"/>
          <w:color w:val="auto"/>
          <w:sz w:val="22"/>
          <w:szCs w:val="22"/>
        </w:rPr>
      </w:pPr>
      <w:r w:rsidRPr="007E6290">
        <w:rPr>
          <w:rFonts w:asciiTheme="minorHAnsi" w:hAnsiTheme="minorHAnsi" w:cstheme="minorBidi"/>
          <w:b/>
          <w:bCs/>
          <w:color w:val="auto"/>
          <w:sz w:val="22"/>
          <w:szCs w:val="22"/>
        </w:rPr>
        <w:t>Wahlfreiheit gewährleisten</w:t>
      </w:r>
    </w:p>
    <w:p w14:paraId="0A079426" w14:textId="77777777" w:rsidR="007E6290" w:rsidRDefault="00225C33" w:rsidP="00225C33">
      <w:pPr>
        <w:pStyle w:val="Default"/>
        <w:numPr>
          <w:ilvl w:val="0"/>
          <w:numId w:val="13"/>
        </w:numPr>
        <w:rPr>
          <w:rFonts w:asciiTheme="minorHAnsi" w:hAnsiTheme="minorHAnsi" w:cstheme="minorBidi"/>
          <w:color w:val="auto"/>
          <w:sz w:val="22"/>
          <w:szCs w:val="22"/>
        </w:rPr>
      </w:pPr>
      <w:r w:rsidRPr="007E6290">
        <w:rPr>
          <w:rFonts w:asciiTheme="minorHAnsi" w:hAnsiTheme="minorHAnsi" w:cstheme="minorBidi"/>
          <w:color w:val="auto"/>
          <w:sz w:val="22"/>
          <w:szCs w:val="22"/>
        </w:rPr>
        <w:lastRenderedPageBreak/>
        <w:t>Wahlfreiheit zwischen der gesetzlichen Rentenversicherung und anderweitigen privaten Vorsorgeprodukten gewährleisten</w:t>
      </w:r>
    </w:p>
    <w:p w14:paraId="5C8058EC" w14:textId="77777777" w:rsidR="007E6290" w:rsidRDefault="007E6290" w:rsidP="00225C33">
      <w:pPr>
        <w:pStyle w:val="Default"/>
        <w:numPr>
          <w:ilvl w:val="0"/>
          <w:numId w:val="13"/>
        </w:numPr>
        <w:rPr>
          <w:rFonts w:asciiTheme="minorHAnsi" w:hAnsiTheme="minorHAnsi" w:cstheme="minorBidi"/>
          <w:color w:val="auto"/>
          <w:sz w:val="22"/>
          <w:szCs w:val="22"/>
        </w:rPr>
      </w:pPr>
      <w:r>
        <w:rPr>
          <w:rFonts w:asciiTheme="minorHAnsi" w:hAnsiTheme="minorHAnsi" w:cstheme="minorBidi"/>
          <w:color w:val="auto"/>
          <w:sz w:val="22"/>
          <w:szCs w:val="22"/>
        </w:rPr>
        <w:t>E</w:t>
      </w:r>
      <w:r w:rsidR="00225C33" w:rsidRPr="007E6290">
        <w:rPr>
          <w:rFonts w:asciiTheme="minorHAnsi" w:hAnsiTheme="minorHAnsi" w:cstheme="minorBidi"/>
          <w:color w:val="auto"/>
          <w:sz w:val="22"/>
          <w:szCs w:val="22"/>
        </w:rPr>
        <w:t xml:space="preserve">in möglichst breites Spektrum an Vorsorgemöglichkeiten schaffen </w:t>
      </w:r>
    </w:p>
    <w:p w14:paraId="14B6DC1E" w14:textId="5BD457DF" w:rsidR="00225C33" w:rsidRPr="007E6290" w:rsidRDefault="00225C33" w:rsidP="00225C33">
      <w:pPr>
        <w:pStyle w:val="Default"/>
        <w:numPr>
          <w:ilvl w:val="0"/>
          <w:numId w:val="13"/>
        </w:numPr>
        <w:rPr>
          <w:rFonts w:asciiTheme="minorHAnsi" w:hAnsiTheme="minorHAnsi" w:cstheme="minorBidi"/>
          <w:color w:val="auto"/>
          <w:sz w:val="22"/>
          <w:szCs w:val="22"/>
        </w:rPr>
      </w:pPr>
      <w:r w:rsidRPr="007E6290">
        <w:rPr>
          <w:rFonts w:asciiTheme="minorHAnsi" w:hAnsiTheme="minorHAnsi" w:cstheme="minorBidi"/>
          <w:color w:val="auto"/>
          <w:sz w:val="22"/>
          <w:szCs w:val="22"/>
        </w:rPr>
        <w:t xml:space="preserve">In Betracht kommende Vorsorgeprodukte </w:t>
      </w:r>
      <w:r w:rsidR="007E6290">
        <w:rPr>
          <w:rFonts w:asciiTheme="minorHAnsi" w:hAnsiTheme="minorHAnsi" w:cstheme="minorBidi"/>
          <w:color w:val="auto"/>
          <w:sz w:val="22"/>
          <w:szCs w:val="22"/>
        </w:rPr>
        <w:t>i</w:t>
      </w:r>
      <w:r w:rsidRPr="007E6290">
        <w:rPr>
          <w:rFonts w:asciiTheme="minorHAnsi" w:hAnsiTheme="minorHAnsi" w:cstheme="minorBidi"/>
          <w:color w:val="auto"/>
          <w:sz w:val="22"/>
          <w:szCs w:val="22"/>
        </w:rPr>
        <w:t xml:space="preserve">nsolvenz- und </w:t>
      </w:r>
      <w:r w:rsidR="007E6290">
        <w:rPr>
          <w:rFonts w:asciiTheme="minorHAnsi" w:hAnsiTheme="minorHAnsi" w:cstheme="minorBidi"/>
          <w:color w:val="auto"/>
          <w:sz w:val="22"/>
          <w:szCs w:val="22"/>
        </w:rPr>
        <w:t>p</w:t>
      </w:r>
      <w:r w:rsidRPr="007E6290">
        <w:rPr>
          <w:rFonts w:asciiTheme="minorHAnsi" w:hAnsiTheme="minorHAnsi" w:cstheme="minorBidi"/>
          <w:color w:val="auto"/>
          <w:sz w:val="22"/>
          <w:szCs w:val="22"/>
        </w:rPr>
        <w:t xml:space="preserve">fändungssicher </w:t>
      </w:r>
      <w:r w:rsidR="007E6290">
        <w:rPr>
          <w:rFonts w:asciiTheme="minorHAnsi" w:hAnsiTheme="minorHAnsi" w:cstheme="minorBidi"/>
          <w:color w:val="auto"/>
          <w:sz w:val="22"/>
          <w:szCs w:val="22"/>
        </w:rPr>
        <w:t>und</w:t>
      </w:r>
      <w:r w:rsidRPr="007E6290">
        <w:rPr>
          <w:rFonts w:asciiTheme="minorHAnsi" w:hAnsiTheme="minorHAnsi" w:cstheme="minorBidi"/>
          <w:color w:val="auto"/>
          <w:sz w:val="22"/>
          <w:szCs w:val="22"/>
        </w:rPr>
        <w:t xml:space="preserve"> im Hinblick auf Aufwand und Ertrag attraktiv ausgestalte</w:t>
      </w:r>
      <w:r w:rsidR="007E6290">
        <w:rPr>
          <w:rFonts w:asciiTheme="minorHAnsi" w:hAnsiTheme="minorHAnsi" w:cstheme="minorBidi"/>
          <w:color w:val="auto"/>
          <w:sz w:val="22"/>
          <w:szCs w:val="22"/>
        </w:rPr>
        <w:t>n</w:t>
      </w:r>
      <w:r w:rsidRPr="007E6290">
        <w:rPr>
          <w:rFonts w:asciiTheme="minorHAnsi" w:hAnsiTheme="minorHAnsi" w:cstheme="minorBidi"/>
          <w:color w:val="auto"/>
          <w:sz w:val="22"/>
          <w:szCs w:val="22"/>
        </w:rPr>
        <w:t xml:space="preserve"> </w:t>
      </w:r>
      <w:r w:rsidR="007E6290">
        <w:rPr>
          <w:rFonts w:asciiTheme="minorHAnsi" w:hAnsiTheme="minorHAnsi" w:cstheme="minorBidi"/>
          <w:color w:val="auto"/>
          <w:sz w:val="22"/>
          <w:szCs w:val="22"/>
        </w:rPr>
        <w:t>(</w:t>
      </w:r>
      <w:r w:rsidRPr="007E6290">
        <w:rPr>
          <w:rFonts w:asciiTheme="minorHAnsi" w:hAnsiTheme="minorHAnsi" w:cstheme="minorBidi"/>
          <w:color w:val="auto"/>
          <w:sz w:val="22"/>
          <w:szCs w:val="22"/>
        </w:rPr>
        <w:t>echte Alternative zur gesetzlich</w:t>
      </w:r>
      <w:r w:rsidR="003F4D86">
        <w:rPr>
          <w:rFonts w:asciiTheme="minorHAnsi" w:hAnsiTheme="minorHAnsi" w:cstheme="minorBidi"/>
          <w:color w:val="auto"/>
          <w:sz w:val="22"/>
          <w:szCs w:val="22"/>
        </w:rPr>
        <w:t>en Rentenversicherung</w:t>
      </w:r>
      <w:r w:rsidR="007E6290">
        <w:rPr>
          <w:rFonts w:asciiTheme="minorHAnsi" w:hAnsiTheme="minorHAnsi" w:cstheme="minorBidi"/>
          <w:color w:val="auto"/>
          <w:sz w:val="22"/>
          <w:szCs w:val="22"/>
        </w:rPr>
        <w:t>)</w:t>
      </w:r>
      <w:r w:rsidRPr="007E6290">
        <w:rPr>
          <w:rFonts w:asciiTheme="minorHAnsi" w:hAnsiTheme="minorHAnsi" w:cstheme="minorBidi"/>
          <w:color w:val="auto"/>
          <w:sz w:val="22"/>
          <w:szCs w:val="22"/>
        </w:rPr>
        <w:t>.</w:t>
      </w:r>
    </w:p>
    <w:p w14:paraId="6D41FF89" w14:textId="77777777" w:rsidR="007E6290" w:rsidRDefault="007E6290" w:rsidP="00225C33">
      <w:pPr>
        <w:pStyle w:val="Default"/>
        <w:rPr>
          <w:rFonts w:asciiTheme="minorHAnsi" w:hAnsiTheme="minorHAnsi" w:cstheme="minorBidi"/>
          <w:b/>
          <w:bCs/>
          <w:color w:val="auto"/>
          <w:sz w:val="22"/>
          <w:szCs w:val="22"/>
        </w:rPr>
      </w:pPr>
    </w:p>
    <w:p w14:paraId="46271A41" w14:textId="56073325" w:rsidR="00225C33" w:rsidRPr="00485EA3" w:rsidRDefault="00225C33" w:rsidP="00225C33">
      <w:pPr>
        <w:pStyle w:val="Default"/>
        <w:rPr>
          <w:rFonts w:asciiTheme="minorHAnsi" w:hAnsiTheme="minorHAnsi" w:cstheme="minorBidi"/>
          <w:b/>
          <w:bCs/>
          <w:color w:val="auto"/>
          <w:sz w:val="22"/>
          <w:szCs w:val="22"/>
        </w:rPr>
      </w:pPr>
      <w:r w:rsidRPr="00485EA3">
        <w:rPr>
          <w:rFonts w:asciiTheme="minorHAnsi" w:hAnsiTheme="minorHAnsi" w:cstheme="minorBidi"/>
          <w:b/>
          <w:bCs/>
          <w:color w:val="auto"/>
          <w:sz w:val="22"/>
          <w:szCs w:val="22"/>
        </w:rPr>
        <w:t xml:space="preserve">Unbürokratische Umsetzung </w:t>
      </w:r>
    </w:p>
    <w:p w14:paraId="2A79E2FC" w14:textId="77777777" w:rsidR="007E6290" w:rsidRDefault="00225C33" w:rsidP="007E6290">
      <w:pPr>
        <w:pStyle w:val="Default"/>
        <w:numPr>
          <w:ilvl w:val="0"/>
          <w:numId w:val="14"/>
        </w:numPr>
        <w:rPr>
          <w:rFonts w:asciiTheme="minorHAnsi" w:hAnsiTheme="minorHAnsi" w:cstheme="minorBidi"/>
          <w:color w:val="auto"/>
          <w:sz w:val="22"/>
          <w:szCs w:val="22"/>
        </w:rPr>
      </w:pPr>
      <w:r w:rsidRPr="00485EA3">
        <w:rPr>
          <w:rFonts w:asciiTheme="minorHAnsi" w:hAnsiTheme="minorHAnsi" w:cstheme="minorBidi"/>
          <w:color w:val="auto"/>
          <w:sz w:val="22"/>
          <w:szCs w:val="22"/>
        </w:rPr>
        <w:t>Die Einführung und spätere Überwachung der Altersvorsorgepflicht bürokratiearm in bestehende Kontrollstrukturen integrier</w:t>
      </w:r>
      <w:r w:rsidR="007E6290">
        <w:rPr>
          <w:rFonts w:asciiTheme="minorHAnsi" w:hAnsiTheme="minorHAnsi" w:cstheme="minorBidi"/>
          <w:color w:val="auto"/>
          <w:sz w:val="22"/>
          <w:szCs w:val="22"/>
        </w:rPr>
        <w:t>en</w:t>
      </w:r>
      <w:r w:rsidRPr="00485EA3">
        <w:rPr>
          <w:rFonts w:asciiTheme="minorHAnsi" w:hAnsiTheme="minorHAnsi" w:cstheme="minorBidi"/>
          <w:color w:val="auto"/>
          <w:sz w:val="22"/>
          <w:szCs w:val="22"/>
        </w:rPr>
        <w:t xml:space="preserve"> </w:t>
      </w:r>
    </w:p>
    <w:p w14:paraId="652701A8" w14:textId="10B267CC" w:rsidR="00225C33" w:rsidRDefault="00225C33" w:rsidP="007E6290">
      <w:pPr>
        <w:pStyle w:val="Default"/>
        <w:numPr>
          <w:ilvl w:val="0"/>
          <w:numId w:val="14"/>
        </w:numPr>
        <w:rPr>
          <w:rFonts w:asciiTheme="minorHAnsi" w:hAnsiTheme="minorHAnsi" w:cstheme="minorBidi"/>
          <w:color w:val="auto"/>
          <w:sz w:val="22"/>
          <w:szCs w:val="22"/>
        </w:rPr>
      </w:pPr>
      <w:r w:rsidRPr="00485EA3">
        <w:rPr>
          <w:rFonts w:asciiTheme="minorHAnsi" w:hAnsiTheme="minorHAnsi" w:cstheme="minorBidi"/>
          <w:color w:val="auto"/>
          <w:sz w:val="22"/>
          <w:szCs w:val="22"/>
        </w:rPr>
        <w:t xml:space="preserve"> „Opt-Out“ aus der gesetzlichen Rentenversicherung zugunsten eines privaten Vorsorgeprodukts einfach und schnell </w:t>
      </w:r>
      <w:r w:rsidR="007E6290">
        <w:rPr>
          <w:rFonts w:asciiTheme="minorHAnsi" w:hAnsiTheme="minorHAnsi" w:cstheme="minorBidi"/>
          <w:color w:val="auto"/>
          <w:sz w:val="22"/>
          <w:szCs w:val="22"/>
        </w:rPr>
        <w:t>(</w:t>
      </w:r>
      <w:r w:rsidRPr="00485EA3">
        <w:rPr>
          <w:rFonts w:asciiTheme="minorHAnsi" w:hAnsiTheme="minorHAnsi" w:cstheme="minorBidi"/>
          <w:color w:val="auto"/>
          <w:sz w:val="22"/>
          <w:szCs w:val="22"/>
        </w:rPr>
        <w:t>echte Wahlfreiheit</w:t>
      </w:r>
      <w:r w:rsidR="007E6290">
        <w:rPr>
          <w:rFonts w:asciiTheme="minorHAnsi" w:hAnsiTheme="minorHAnsi" w:cstheme="minorBidi"/>
          <w:color w:val="auto"/>
          <w:sz w:val="22"/>
          <w:szCs w:val="22"/>
        </w:rPr>
        <w:t>)</w:t>
      </w:r>
    </w:p>
    <w:p w14:paraId="3653C61E" w14:textId="77777777" w:rsidR="00485EA3" w:rsidRPr="00485EA3" w:rsidRDefault="00485EA3" w:rsidP="00225C33">
      <w:pPr>
        <w:pStyle w:val="Default"/>
        <w:rPr>
          <w:rFonts w:asciiTheme="minorHAnsi" w:hAnsiTheme="minorHAnsi" w:cstheme="minorBidi"/>
          <w:color w:val="auto"/>
          <w:sz w:val="22"/>
          <w:szCs w:val="22"/>
        </w:rPr>
      </w:pPr>
    </w:p>
    <w:p w14:paraId="24778644" w14:textId="77777777" w:rsidR="00225C33" w:rsidRPr="00485EA3" w:rsidRDefault="00225C33" w:rsidP="00225C33">
      <w:pPr>
        <w:pStyle w:val="Default"/>
        <w:rPr>
          <w:rFonts w:asciiTheme="minorHAnsi" w:hAnsiTheme="minorHAnsi" w:cstheme="minorBidi"/>
          <w:b/>
          <w:bCs/>
          <w:color w:val="auto"/>
          <w:sz w:val="22"/>
          <w:szCs w:val="22"/>
        </w:rPr>
      </w:pPr>
      <w:r w:rsidRPr="00485EA3">
        <w:rPr>
          <w:rFonts w:asciiTheme="minorHAnsi" w:hAnsiTheme="minorHAnsi" w:cstheme="minorBidi"/>
          <w:b/>
          <w:bCs/>
          <w:color w:val="auto"/>
          <w:sz w:val="22"/>
          <w:szCs w:val="22"/>
        </w:rPr>
        <w:t xml:space="preserve">Statusfeststellung nicht zweckentfremden </w:t>
      </w:r>
    </w:p>
    <w:p w14:paraId="6C4AD101" w14:textId="77777777" w:rsidR="000C07CD" w:rsidRDefault="000C07CD" w:rsidP="00225C33">
      <w:pPr>
        <w:spacing w:after="0" w:line="240" w:lineRule="auto"/>
        <w:jc w:val="both"/>
        <w:rPr>
          <w:lang w:val="de-DE"/>
        </w:rPr>
      </w:pPr>
    </w:p>
    <w:p w14:paraId="12A79A25" w14:textId="079E0F35" w:rsidR="000C07CD" w:rsidRDefault="00225C33" w:rsidP="000C07CD">
      <w:pPr>
        <w:pStyle w:val="Listenabsatz"/>
        <w:numPr>
          <w:ilvl w:val="0"/>
          <w:numId w:val="15"/>
        </w:numPr>
        <w:spacing w:after="0" w:line="240" w:lineRule="auto"/>
        <w:jc w:val="both"/>
        <w:rPr>
          <w:lang w:val="de-DE"/>
        </w:rPr>
      </w:pPr>
      <w:r w:rsidRPr="000C07CD">
        <w:rPr>
          <w:lang w:val="de-DE"/>
        </w:rPr>
        <w:t>Feststellung durch die Rentenversicherung, ob abhängige Beschäftigung oder Selbstständigkeit vorliegt</w:t>
      </w:r>
      <w:r w:rsidR="000C07CD">
        <w:rPr>
          <w:lang w:val="de-DE"/>
        </w:rPr>
        <w:t xml:space="preserve"> muss in </w:t>
      </w:r>
      <w:r w:rsidRPr="000C07CD">
        <w:rPr>
          <w:lang w:val="de-DE"/>
        </w:rPr>
        <w:t>klare</w:t>
      </w:r>
      <w:r w:rsidR="000C07CD">
        <w:rPr>
          <w:lang w:val="de-DE"/>
        </w:rPr>
        <w:t>r</w:t>
      </w:r>
      <w:r w:rsidRPr="000C07CD">
        <w:rPr>
          <w:lang w:val="de-DE"/>
        </w:rPr>
        <w:t xml:space="preserve"> Abgrenzung</w:t>
      </w:r>
      <w:r w:rsidR="000C07CD">
        <w:rPr>
          <w:lang w:val="de-DE"/>
        </w:rPr>
        <w:t>e</w:t>
      </w:r>
      <w:r w:rsidRPr="000C07CD">
        <w:rPr>
          <w:lang w:val="de-DE"/>
        </w:rPr>
        <w:t xml:space="preserve">n nach rechtssicheren Kriterien erfolgen. </w:t>
      </w:r>
    </w:p>
    <w:p w14:paraId="225B6A65" w14:textId="647F3025" w:rsidR="00225C33" w:rsidRPr="000C07CD" w:rsidRDefault="000C07CD" w:rsidP="000C07CD">
      <w:pPr>
        <w:pStyle w:val="Listenabsatz"/>
        <w:numPr>
          <w:ilvl w:val="0"/>
          <w:numId w:val="15"/>
        </w:numPr>
        <w:spacing w:after="0" w:line="240" w:lineRule="auto"/>
        <w:jc w:val="both"/>
        <w:rPr>
          <w:lang w:val="de-DE"/>
        </w:rPr>
      </w:pPr>
      <w:r>
        <w:rPr>
          <w:lang w:val="de-DE"/>
        </w:rPr>
        <w:t xml:space="preserve">Die Wahlfreiheit der Altersvorsorge </w:t>
      </w:r>
      <w:r w:rsidR="00225C33" w:rsidRPr="000C07CD">
        <w:rPr>
          <w:lang w:val="de-DE"/>
        </w:rPr>
        <w:t>darf nicht dazu verleiten, andere Prüfungsmaßstäbe anzulegen, um so Selbstständige doch noch in die gesetzliche Rentenversicherung zu bringen.</w:t>
      </w:r>
    </w:p>
    <w:sectPr w:rsidR="00225C33" w:rsidRPr="000C07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AC9F" w16cex:dateUtc="2022-04-11T11:33:00Z"/>
  <w16cex:commentExtensible w16cex:durableId="25F17234" w16cex:dateUtc="2022-04-01T10:44:00Z"/>
  <w16cex:commentExtensible w16cex:durableId="25FEA9C8" w16cex:dateUtc="2022-04-11T11:21:00Z"/>
  <w16cex:commentExtensible w16cex:durableId="25FEAB67" w16cex:dateUtc="2022-04-1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8D9C9" w16cid:durableId="25FEAC9F"/>
  <w16cid:commentId w16cid:paraId="2D522BFE" w16cid:durableId="25F17234"/>
  <w16cid:commentId w16cid:paraId="1963F592" w16cid:durableId="25FEA9C8"/>
  <w16cid:commentId w16cid:paraId="34433384" w16cid:durableId="25FEAB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6E6B" w14:textId="77777777" w:rsidR="002706D1" w:rsidRDefault="002706D1" w:rsidP="00B93E87">
      <w:pPr>
        <w:spacing w:after="0" w:line="240" w:lineRule="auto"/>
      </w:pPr>
      <w:r>
        <w:separator/>
      </w:r>
    </w:p>
  </w:endnote>
  <w:endnote w:type="continuationSeparator" w:id="0">
    <w:p w14:paraId="388E614F" w14:textId="77777777" w:rsidR="002706D1" w:rsidRDefault="002706D1" w:rsidP="00B9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9D61" w14:textId="77777777" w:rsidR="0056516B" w:rsidRDefault="005651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49938"/>
      <w:docPartObj>
        <w:docPartGallery w:val="Page Numbers (Bottom of Page)"/>
        <w:docPartUnique/>
      </w:docPartObj>
    </w:sdtPr>
    <w:sdtEndPr/>
    <w:sdtContent>
      <w:p w14:paraId="5538C238" w14:textId="551CD7B2" w:rsidR="0013258D" w:rsidRDefault="0013258D">
        <w:pPr>
          <w:pStyle w:val="Fuzeile"/>
          <w:jc w:val="right"/>
        </w:pPr>
        <w:r>
          <w:fldChar w:fldCharType="begin"/>
        </w:r>
        <w:r>
          <w:instrText>PAGE   \* MERGEFORMAT</w:instrText>
        </w:r>
        <w:r>
          <w:fldChar w:fldCharType="separate"/>
        </w:r>
        <w:r w:rsidR="003F4D86" w:rsidRPr="003F4D86">
          <w:rPr>
            <w:noProof/>
            <w:lang w:val="de-DE"/>
          </w:rPr>
          <w:t>2</w:t>
        </w:r>
        <w:r>
          <w:fldChar w:fldCharType="end"/>
        </w:r>
      </w:p>
    </w:sdtContent>
  </w:sdt>
  <w:p w14:paraId="7D7FC19F" w14:textId="77777777" w:rsidR="0013258D" w:rsidRDefault="001325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9690" w14:textId="77777777" w:rsidR="0056516B" w:rsidRDefault="005651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C15D" w14:textId="77777777" w:rsidR="002706D1" w:rsidRDefault="002706D1" w:rsidP="00B93E87">
      <w:pPr>
        <w:spacing w:after="0" w:line="240" w:lineRule="auto"/>
      </w:pPr>
      <w:r>
        <w:separator/>
      </w:r>
    </w:p>
  </w:footnote>
  <w:footnote w:type="continuationSeparator" w:id="0">
    <w:p w14:paraId="23FB38A3" w14:textId="77777777" w:rsidR="002706D1" w:rsidRDefault="002706D1" w:rsidP="00B93E87">
      <w:pPr>
        <w:spacing w:after="0" w:line="240" w:lineRule="auto"/>
      </w:pPr>
      <w:r>
        <w:continuationSeparator/>
      </w:r>
    </w:p>
  </w:footnote>
  <w:footnote w:id="1">
    <w:p w14:paraId="1F77E693" w14:textId="77777777" w:rsidR="00CB132F" w:rsidRPr="00D03D49" w:rsidRDefault="00CB132F">
      <w:pPr>
        <w:pStyle w:val="Funotentext"/>
        <w:rPr>
          <w:lang w:val="de-DE"/>
        </w:rPr>
      </w:pPr>
      <w:r>
        <w:rPr>
          <w:rStyle w:val="Funotenzeichen"/>
        </w:rPr>
        <w:footnoteRef/>
      </w:r>
      <w:r w:rsidRPr="00D03D49">
        <w:rPr>
          <w:lang w:val="de-DE"/>
        </w:rPr>
        <w:t xml:space="preserve"> </w:t>
      </w:r>
      <w:r>
        <w:rPr>
          <w:lang w:val="de-DE"/>
        </w:rPr>
        <w:t>Quelle: Deutsche Rentenversicherung</w:t>
      </w:r>
    </w:p>
  </w:footnote>
  <w:footnote w:id="2">
    <w:p w14:paraId="55D55CA8" w14:textId="77777777" w:rsidR="002E50D5" w:rsidRPr="007E512E" w:rsidRDefault="002E50D5" w:rsidP="002E50D5">
      <w:pPr>
        <w:pStyle w:val="Funotentext"/>
        <w:rPr>
          <w:lang w:val="de-DE"/>
        </w:rPr>
      </w:pPr>
      <w:r>
        <w:rPr>
          <w:rStyle w:val="Funotenzeichen"/>
        </w:rPr>
        <w:footnoteRef/>
      </w:r>
      <w:r w:rsidRPr="00D03D49">
        <w:rPr>
          <w:lang w:val="de-DE"/>
        </w:rPr>
        <w:t xml:space="preserve"> </w:t>
      </w:r>
      <w:r>
        <w:rPr>
          <w:lang w:val="de-DE"/>
        </w:rPr>
        <w:t>Rentenversicherungsbericht</w:t>
      </w:r>
      <w:r w:rsidR="007F05B9">
        <w:rPr>
          <w:lang w:val="de-DE"/>
        </w:rPr>
        <w:t xml:space="preserve"> der Bundesregierung</w:t>
      </w:r>
      <w:r>
        <w:rPr>
          <w:lang w:val="de-DE"/>
        </w:rPr>
        <w:t xml:space="preserve"> 2016</w:t>
      </w:r>
    </w:p>
  </w:footnote>
  <w:footnote w:id="3">
    <w:p w14:paraId="75508F44" w14:textId="77777777" w:rsidR="007A306C" w:rsidRPr="007A306C" w:rsidRDefault="007A306C">
      <w:pPr>
        <w:pStyle w:val="Funotentext"/>
        <w:rPr>
          <w:lang w:val="de-DE"/>
        </w:rPr>
      </w:pPr>
      <w:r>
        <w:rPr>
          <w:rStyle w:val="Funotenzeichen"/>
        </w:rPr>
        <w:footnoteRef/>
      </w:r>
      <w:r>
        <w:t xml:space="preserve"> </w:t>
      </w:r>
      <w:r>
        <w:rPr>
          <w:lang w:val="de-DE"/>
        </w:rPr>
        <w:t>Wie bereits 2015 und 2017 adressiert.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724CF" w14:textId="77777777" w:rsidR="0056516B" w:rsidRDefault="005651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B547" w14:textId="77777777" w:rsidR="0056516B" w:rsidRDefault="005651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FB00" w14:textId="77777777" w:rsidR="0056516B" w:rsidRDefault="005651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B9"/>
    <w:multiLevelType w:val="hybridMultilevel"/>
    <w:tmpl w:val="7694725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B02CE2"/>
    <w:multiLevelType w:val="hybridMultilevel"/>
    <w:tmpl w:val="359AD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F4541"/>
    <w:multiLevelType w:val="hybridMultilevel"/>
    <w:tmpl w:val="1B1A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014AF"/>
    <w:multiLevelType w:val="hybridMultilevel"/>
    <w:tmpl w:val="5386C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99388D"/>
    <w:multiLevelType w:val="hybridMultilevel"/>
    <w:tmpl w:val="6774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344C4"/>
    <w:multiLevelType w:val="hybridMultilevel"/>
    <w:tmpl w:val="B442D0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00503"/>
    <w:multiLevelType w:val="hybridMultilevel"/>
    <w:tmpl w:val="E5BE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411FD0"/>
    <w:multiLevelType w:val="hybridMultilevel"/>
    <w:tmpl w:val="4E78B080"/>
    <w:lvl w:ilvl="0" w:tplc="8C60D1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A909B4"/>
    <w:multiLevelType w:val="hybridMultilevel"/>
    <w:tmpl w:val="9CD4FD3E"/>
    <w:lvl w:ilvl="0" w:tplc="AEB6E99C">
      <w:numFmt w:val="bullet"/>
      <w:lvlText w:val="•"/>
      <w:lvlJc w:val="left"/>
      <w:pPr>
        <w:ind w:left="1080" w:hanging="72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9294F"/>
    <w:multiLevelType w:val="hybridMultilevel"/>
    <w:tmpl w:val="E3C4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13760"/>
    <w:multiLevelType w:val="hybridMultilevel"/>
    <w:tmpl w:val="300C8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1C2A6D"/>
    <w:multiLevelType w:val="hybridMultilevel"/>
    <w:tmpl w:val="8F286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730BB6"/>
    <w:multiLevelType w:val="hybridMultilevel"/>
    <w:tmpl w:val="2D208FF4"/>
    <w:lvl w:ilvl="0" w:tplc="31DE5B4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3A40C1"/>
    <w:multiLevelType w:val="hybridMultilevel"/>
    <w:tmpl w:val="CF1E5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B4825"/>
    <w:multiLevelType w:val="hybridMultilevel"/>
    <w:tmpl w:val="76947254"/>
    <w:lvl w:ilvl="0" w:tplc="8C60D1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631AB3"/>
    <w:multiLevelType w:val="hybridMultilevel"/>
    <w:tmpl w:val="DEE6D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D57D57"/>
    <w:multiLevelType w:val="hybridMultilevel"/>
    <w:tmpl w:val="9AE6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6"/>
  </w:num>
  <w:num w:numId="5">
    <w:abstractNumId w:val="10"/>
  </w:num>
  <w:num w:numId="6">
    <w:abstractNumId w:val="15"/>
  </w:num>
  <w:num w:numId="7">
    <w:abstractNumId w:val="2"/>
  </w:num>
  <w:num w:numId="8">
    <w:abstractNumId w:val="1"/>
  </w:num>
  <w:num w:numId="9">
    <w:abstractNumId w:val="14"/>
  </w:num>
  <w:num w:numId="10">
    <w:abstractNumId w:val="12"/>
  </w:num>
  <w:num w:numId="11">
    <w:abstractNumId w:val="0"/>
  </w:num>
  <w:num w:numId="12">
    <w:abstractNumId w:val="7"/>
  </w:num>
  <w:num w:numId="13">
    <w:abstractNumId w:val="4"/>
  </w:num>
  <w:num w:numId="14">
    <w:abstractNumId w:val="11"/>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87"/>
    <w:rsid w:val="000003CC"/>
    <w:rsid w:val="000011F6"/>
    <w:rsid w:val="00006EF7"/>
    <w:rsid w:val="00010B1C"/>
    <w:rsid w:val="00020EA4"/>
    <w:rsid w:val="000A64D2"/>
    <w:rsid w:val="000B5228"/>
    <w:rsid w:val="000C07CD"/>
    <w:rsid w:val="0010010C"/>
    <w:rsid w:val="00100629"/>
    <w:rsid w:val="001118BF"/>
    <w:rsid w:val="001139F5"/>
    <w:rsid w:val="0013258D"/>
    <w:rsid w:val="00132BD3"/>
    <w:rsid w:val="001407DF"/>
    <w:rsid w:val="00147F72"/>
    <w:rsid w:val="00161E94"/>
    <w:rsid w:val="00181AB2"/>
    <w:rsid w:val="001B68AF"/>
    <w:rsid w:val="001E4090"/>
    <w:rsid w:val="00203DCE"/>
    <w:rsid w:val="00204558"/>
    <w:rsid w:val="00211DD3"/>
    <w:rsid w:val="00225C33"/>
    <w:rsid w:val="00227A9C"/>
    <w:rsid w:val="00250115"/>
    <w:rsid w:val="002706D1"/>
    <w:rsid w:val="00274358"/>
    <w:rsid w:val="00282B9E"/>
    <w:rsid w:val="00283400"/>
    <w:rsid w:val="002853D4"/>
    <w:rsid w:val="002E4E59"/>
    <w:rsid w:val="002E50D5"/>
    <w:rsid w:val="002F0A13"/>
    <w:rsid w:val="003121B0"/>
    <w:rsid w:val="003208E4"/>
    <w:rsid w:val="00341CDB"/>
    <w:rsid w:val="003504DE"/>
    <w:rsid w:val="003A26B7"/>
    <w:rsid w:val="003A5D3F"/>
    <w:rsid w:val="003A791A"/>
    <w:rsid w:val="003B42E2"/>
    <w:rsid w:val="003D66FE"/>
    <w:rsid w:val="003F4D86"/>
    <w:rsid w:val="0041582D"/>
    <w:rsid w:val="00431017"/>
    <w:rsid w:val="00447FD4"/>
    <w:rsid w:val="00465546"/>
    <w:rsid w:val="00473351"/>
    <w:rsid w:val="00480619"/>
    <w:rsid w:val="004829A8"/>
    <w:rsid w:val="00485EA3"/>
    <w:rsid w:val="004B22E9"/>
    <w:rsid w:val="004B3AA4"/>
    <w:rsid w:val="004D70CF"/>
    <w:rsid w:val="004E0766"/>
    <w:rsid w:val="004F7E80"/>
    <w:rsid w:val="00501EFE"/>
    <w:rsid w:val="005101E2"/>
    <w:rsid w:val="005160DC"/>
    <w:rsid w:val="00530F9E"/>
    <w:rsid w:val="00533213"/>
    <w:rsid w:val="00536E63"/>
    <w:rsid w:val="005414CD"/>
    <w:rsid w:val="0056516B"/>
    <w:rsid w:val="00590720"/>
    <w:rsid w:val="005B4869"/>
    <w:rsid w:val="005C0F1A"/>
    <w:rsid w:val="006128EE"/>
    <w:rsid w:val="006308B9"/>
    <w:rsid w:val="0063138C"/>
    <w:rsid w:val="0064213C"/>
    <w:rsid w:val="00647E98"/>
    <w:rsid w:val="006A1AE8"/>
    <w:rsid w:val="006F7A49"/>
    <w:rsid w:val="00726376"/>
    <w:rsid w:val="0073671E"/>
    <w:rsid w:val="007755D1"/>
    <w:rsid w:val="007A1EF7"/>
    <w:rsid w:val="007A298A"/>
    <w:rsid w:val="007A306C"/>
    <w:rsid w:val="007B6BCF"/>
    <w:rsid w:val="007D6D8B"/>
    <w:rsid w:val="007E512E"/>
    <w:rsid w:val="007E6290"/>
    <w:rsid w:val="007F05B9"/>
    <w:rsid w:val="00824C33"/>
    <w:rsid w:val="00835C2F"/>
    <w:rsid w:val="00836560"/>
    <w:rsid w:val="008378E1"/>
    <w:rsid w:val="00837974"/>
    <w:rsid w:val="00841814"/>
    <w:rsid w:val="008541D0"/>
    <w:rsid w:val="00871168"/>
    <w:rsid w:val="00876D87"/>
    <w:rsid w:val="0088422A"/>
    <w:rsid w:val="008A27BE"/>
    <w:rsid w:val="008A57FB"/>
    <w:rsid w:val="008A61A5"/>
    <w:rsid w:val="0091462C"/>
    <w:rsid w:val="00934C98"/>
    <w:rsid w:val="009420D4"/>
    <w:rsid w:val="00954664"/>
    <w:rsid w:val="00973E53"/>
    <w:rsid w:val="009B4A14"/>
    <w:rsid w:val="009C402A"/>
    <w:rsid w:val="009D4B71"/>
    <w:rsid w:val="00A059A5"/>
    <w:rsid w:val="00A32E60"/>
    <w:rsid w:val="00A82E96"/>
    <w:rsid w:val="00A836EC"/>
    <w:rsid w:val="00AB71E7"/>
    <w:rsid w:val="00AC28F1"/>
    <w:rsid w:val="00AC53BB"/>
    <w:rsid w:val="00AD0197"/>
    <w:rsid w:val="00AE1B1D"/>
    <w:rsid w:val="00B00983"/>
    <w:rsid w:val="00B222B4"/>
    <w:rsid w:val="00B22C75"/>
    <w:rsid w:val="00B45021"/>
    <w:rsid w:val="00B54B7E"/>
    <w:rsid w:val="00B86E33"/>
    <w:rsid w:val="00B93693"/>
    <w:rsid w:val="00B93E87"/>
    <w:rsid w:val="00BC1096"/>
    <w:rsid w:val="00BE4699"/>
    <w:rsid w:val="00C007AC"/>
    <w:rsid w:val="00C00CB7"/>
    <w:rsid w:val="00C21856"/>
    <w:rsid w:val="00C21C47"/>
    <w:rsid w:val="00C546F3"/>
    <w:rsid w:val="00C62C19"/>
    <w:rsid w:val="00C76A7C"/>
    <w:rsid w:val="00C8589D"/>
    <w:rsid w:val="00C85D72"/>
    <w:rsid w:val="00C97ACF"/>
    <w:rsid w:val="00CB132F"/>
    <w:rsid w:val="00CB7320"/>
    <w:rsid w:val="00CD7446"/>
    <w:rsid w:val="00CE7E5C"/>
    <w:rsid w:val="00D03D49"/>
    <w:rsid w:val="00D17AA6"/>
    <w:rsid w:val="00D4700B"/>
    <w:rsid w:val="00D538A3"/>
    <w:rsid w:val="00D76461"/>
    <w:rsid w:val="00DB43A7"/>
    <w:rsid w:val="00E117CD"/>
    <w:rsid w:val="00E211F1"/>
    <w:rsid w:val="00E40B7D"/>
    <w:rsid w:val="00E42CC7"/>
    <w:rsid w:val="00EC0FF1"/>
    <w:rsid w:val="00ED30C7"/>
    <w:rsid w:val="00ED4D7C"/>
    <w:rsid w:val="00EE7FFE"/>
    <w:rsid w:val="00EF3721"/>
    <w:rsid w:val="00EF6B21"/>
    <w:rsid w:val="00F05416"/>
    <w:rsid w:val="00F24CAC"/>
    <w:rsid w:val="00F31C97"/>
    <w:rsid w:val="00F76F2A"/>
    <w:rsid w:val="00F96E75"/>
    <w:rsid w:val="00FA16A8"/>
    <w:rsid w:val="00FB05A5"/>
    <w:rsid w:val="00FB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4EAC"/>
  <w15:docId w15:val="{4CB966C8-4382-49B8-A26C-731A545D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E8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93E87"/>
  </w:style>
  <w:style w:type="paragraph" w:styleId="Fuzeile">
    <w:name w:val="footer"/>
    <w:basedOn w:val="Standard"/>
    <w:link w:val="FuzeileZchn"/>
    <w:uiPriority w:val="99"/>
    <w:unhideWhenUsed/>
    <w:rsid w:val="00B93E8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93E87"/>
  </w:style>
  <w:style w:type="paragraph" w:styleId="Funotentext">
    <w:name w:val="footnote text"/>
    <w:basedOn w:val="Standard"/>
    <w:link w:val="FunotentextZchn"/>
    <w:uiPriority w:val="99"/>
    <w:semiHidden/>
    <w:unhideWhenUsed/>
    <w:rsid w:val="007E51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512E"/>
    <w:rPr>
      <w:sz w:val="20"/>
      <w:szCs w:val="20"/>
    </w:rPr>
  </w:style>
  <w:style w:type="character" w:styleId="Funotenzeichen">
    <w:name w:val="footnote reference"/>
    <w:basedOn w:val="Absatz-Standardschriftart"/>
    <w:uiPriority w:val="99"/>
    <w:semiHidden/>
    <w:unhideWhenUsed/>
    <w:rsid w:val="007E512E"/>
    <w:rPr>
      <w:vertAlign w:val="superscript"/>
    </w:rPr>
  </w:style>
  <w:style w:type="paragraph" w:styleId="Listenabsatz">
    <w:name w:val="List Paragraph"/>
    <w:basedOn w:val="Standard"/>
    <w:uiPriority w:val="34"/>
    <w:qFormat/>
    <w:rsid w:val="00726376"/>
    <w:pPr>
      <w:ind w:left="720"/>
      <w:contextualSpacing/>
    </w:pPr>
  </w:style>
  <w:style w:type="paragraph" w:styleId="Sprechblasentext">
    <w:name w:val="Balloon Text"/>
    <w:basedOn w:val="Standard"/>
    <w:link w:val="SprechblasentextZchn"/>
    <w:uiPriority w:val="99"/>
    <w:semiHidden/>
    <w:unhideWhenUsed/>
    <w:rsid w:val="00010B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B1C"/>
    <w:rPr>
      <w:rFonts w:ascii="Segoe UI" w:hAnsi="Segoe UI" w:cs="Segoe UI"/>
      <w:sz w:val="18"/>
      <w:szCs w:val="18"/>
    </w:rPr>
  </w:style>
  <w:style w:type="paragraph" w:customStyle="1" w:styleId="Default">
    <w:name w:val="Default"/>
    <w:rsid w:val="002E50D5"/>
    <w:pPr>
      <w:autoSpaceDE w:val="0"/>
      <w:autoSpaceDN w:val="0"/>
      <w:adjustRightInd w:val="0"/>
      <w:spacing w:after="0" w:line="240" w:lineRule="auto"/>
    </w:pPr>
    <w:rPr>
      <w:rFonts w:ascii="Arial" w:hAnsi="Arial" w:cs="Arial"/>
      <w:color w:val="000000"/>
      <w:sz w:val="24"/>
      <w:szCs w:val="24"/>
      <w:lang w:val="de-DE"/>
    </w:rPr>
  </w:style>
  <w:style w:type="character" w:styleId="Kommentarzeichen">
    <w:name w:val="annotation reference"/>
    <w:basedOn w:val="Absatz-Standardschriftart"/>
    <w:uiPriority w:val="99"/>
    <w:semiHidden/>
    <w:unhideWhenUsed/>
    <w:rsid w:val="00181AB2"/>
    <w:rPr>
      <w:sz w:val="16"/>
      <w:szCs w:val="16"/>
    </w:rPr>
  </w:style>
  <w:style w:type="paragraph" w:styleId="Kommentartext">
    <w:name w:val="annotation text"/>
    <w:basedOn w:val="Standard"/>
    <w:link w:val="KommentartextZchn"/>
    <w:uiPriority w:val="99"/>
    <w:semiHidden/>
    <w:unhideWhenUsed/>
    <w:rsid w:val="00181A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1AB2"/>
    <w:rPr>
      <w:sz w:val="20"/>
      <w:szCs w:val="20"/>
    </w:rPr>
  </w:style>
  <w:style w:type="paragraph" w:styleId="Kommentarthema">
    <w:name w:val="annotation subject"/>
    <w:basedOn w:val="Kommentartext"/>
    <w:next w:val="Kommentartext"/>
    <w:link w:val="KommentarthemaZchn"/>
    <w:uiPriority w:val="99"/>
    <w:semiHidden/>
    <w:unhideWhenUsed/>
    <w:rsid w:val="00181AB2"/>
    <w:rPr>
      <w:b/>
      <w:bCs/>
    </w:rPr>
  </w:style>
  <w:style w:type="character" w:customStyle="1" w:styleId="KommentarthemaZchn">
    <w:name w:val="Kommentarthema Zchn"/>
    <w:basedOn w:val="KommentartextZchn"/>
    <w:link w:val="Kommentarthema"/>
    <w:uiPriority w:val="99"/>
    <w:semiHidden/>
    <w:rsid w:val="00181AB2"/>
    <w:rPr>
      <w:b/>
      <w:bCs/>
      <w:sz w:val="20"/>
      <w:szCs w:val="20"/>
    </w:rPr>
  </w:style>
  <w:style w:type="paragraph" w:styleId="berarbeitung">
    <w:name w:val="Revision"/>
    <w:hidden/>
    <w:uiPriority w:val="99"/>
    <w:semiHidden/>
    <w:rsid w:val="00B86E33"/>
    <w:pPr>
      <w:spacing w:after="0" w:line="240" w:lineRule="auto"/>
    </w:pPr>
  </w:style>
  <w:style w:type="paragraph" w:styleId="Endnotentext">
    <w:name w:val="endnote text"/>
    <w:basedOn w:val="Standard"/>
    <w:link w:val="EndnotentextZchn"/>
    <w:uiPriority w:val="99"/>
    <w:semiHidden/>
    <w:unhideWhenUsed/>
    <w:rsid w:val="009B4A1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B4A14"/>
    <w:rPr>
      <w:sz w:val="20"/>
      <w:szCs w:val="20"/>
    </w:rPr>
  </w:style>
  <w:style w:type="character" w:styleId="Endnotenzeichen">
    <w:name w:val="endnote reference"/>
    <w:basedOn w:val="Absatz-Standardschriftart"/>
    <w:uiPriority w:val="99"/>
    <w:semiHidden/>
    <w:unhideWhenUsed/>
    <w:rsid w:val="009B4A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4E6D-B5FA-4D1A-9A51-4E684326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10845</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Allianz SE</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Lange</dc:creator>
  <cp:lastModifiedBy>Lange, Matthias (Allianz Deutschland)</cp:lastModifiedBy>
  <cp:revision>2</cp:revision>
  <cp:lastPrinted>2017-01-11T11:27:00Z</cp:lastPrinted>
  <dcterms:created xsi:type="dcterms:W3CDTF">2022-04-26T16:45:00Z</dcterms:created>
  <dcterms:modified xsi:type="dcterms:W3CDTF">2022-04-26T16:45:00Z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2022-02-22T17:40:29Z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812bf18a-353b-422f-a714-ab0378c65d1b</vt:lpwstr>
  </property>
  <property fmtid="{D5CDD505-2E9C-101B-9397-08002B2CF9AE}" pid="8" name="MSIP_Label_ce5f591a-3248-43e9-9b70-1ad50135772d_ContentBits">
    <vt:lpwstr>0</vt:lpwstr>
  </property>
</Properties>
</file>